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r/>
      <w:r/>
    </w:p>
    <w:p>
      <w:r>
        <w:t xml:space="preserve">                                                                                                           </w:t>
      </w:r>
      <w:r/>
    </w:p>
    <w:p>
      <w:pPr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eastAsia="Times New Roman" w:cs="Times New Roman"/>
          <w:sz w:val="28"/>
        </w:rPr>
      </w:r>
    </w:p>
    <w:p>
      <w:r>
        <w:t xml:space="preserve">                                                                                               </w:t>
      </w:r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keepLines/>
        <w:keepNext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b/>
          <w:sz w:val="28"/>
          <w:szCs w:val="26"/>
        </w:rPr>
        <w:t xml:space="preserve">Технические требования на выполнение работ</w:t>
      </w: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eastAsia="Times New Roman" w:cs="Times New Roman"/>
          <w:sz w:val="28"/>
        </w:rPr>
      </w:r>
    </w:p>
    <w:p>
      <w:pPr>
        <w:keepLines/>
        <w:keepNext/>
        <w:rPr>
          <w:rFonts w:ascii="Times New Roman" w:hAnsi="Times New Roman" w:eastAsia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eastAsia="Times New Roman" w:cs="Times New Roman"/>
          <w:sz w:val="28"/>
        </w:rPr>
      </w:r>
      <w:r>
        <w:rPr>
          <w:rFonts w:ascii="Times New Roman" w:hAnsi="Times New Roman" w:eastAsia="Times New Roman" w:cs="Times New Roman"/>
          <w:sz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ОКПД2 43.99 Выполнение работ по ремонту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зданий и сооружений Николаевской ТЭЦ, г. Николаевск-на-Амуре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ЛОТ №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11028003-РЕМ ПРОД-2026-ДГК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-НТЭЦ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spacing w:line="240" w:lineRule="auto"/>
        <w:tabs>
          <w:tab w:val="left" w:pos="4253" w:leader="none"/>
        </w:tabs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</w:p>
    <w:p>
      <w:pPr>
        <w:spacing w:line="240" w:lineRule="auto"/>
        <w:tabs>
          <w:tab w:val="left" w:pos="4253" w:leader="none"/>
        </w:tabs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</w:p>
    <w:p>
      <w:pPr>
        <w:spacing w:line="240" w:lineRule="auto"/>
        <w:tabs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spacing w:line="240" w:lineRule="auto"/>
        <w:tabs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spacing w:line="240" w:lineRule="auto"/>
        <w:tabs>
          <w:tab w:val="left" w:pos="4253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spacing w:line="240" w:lineRule="auto"/>
        <w:tabs>
          <w:tab w:val="left" w:pos="4253" w:leader="none"/>
        </w:tabs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  <w:r>
        <w:rPr>
          <w:rFonts w:ascii="Times New Roman" w:hAnsi="Times New Roman" w:eastAsia="Times New Roman" w:cs="Times New Roman"/>
          <w:b/>
          <w:sz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851"/>
        <w:tblW w:w="0" w:type="auto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8329"/>
        <w:gridCol w:w="663"/>
      </w:tblGrid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63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закупаемой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63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63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05"/>
        </w:trPr>
        <w:tc>
          <w:tcPr>
            <w:gridSpan w:val="2"/>
            <w:tcW w:w="9085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1. Перечень объектов заказчика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63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sz w:val="10"/>
                <w:szCs w:val="10"/>
              </w:rPr>
            </w:r>
          </w:p>
        </w:tc>
        <w:tc>
          <w:tcPr>
            <w:tcW w:w="663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2"/>
        </w:trPr>
        <w:tc>
          <w:tcPr>
            <w:tcW w:w="75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продукции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63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объемам и срокам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63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видам и объемам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63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085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2. Перечень и объем выполняемых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63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срокам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63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14"/>
        </w:trPr>
        <w:tc>
          <w:tcPr>
            <w:gridSpan w:val="2"/>
            <w:tcW w:w="9085" w:type="dxa"/>
            <w:vMerge w:val="restart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3. Требования к срокам выполнения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63" w:type="dxa"/>
            <w:vMerge w:val="restart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качеству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63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085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 4. Требования к качеству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663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документации по ценообразованию на этапе закупки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63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sz w:val="10"/>
                <w:szCs w:val="10"/>
              </w:rPr>
            </w:r>
            <w:r>
              <w:rPr>
                <w:rFonts w:ascii="Times New Roman" w:hAnsi="Times New Roman" w:cs="Times New Roman"/>
                <w:sz w:val="10"/>
                <w:szCs w:val="10"/>
              </w:rPr>
            </w:r>
          </w:p>
        </w:tc>
        <w:tc>
          <w:tcPr>
            <w:tcW w:w="663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28" w:type="dxa"/>
            <w:textDirection w:val="lrTb"/>
            <w:noWrap w:val="false"/>
          </w:tcPr>
          <w:p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Список приложений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63" w:type="dxa"/>
            <w:textDirection w:val="lrTb"/>
            <w:noWrap w:val="false"/>
          </w:tcPr>
          <w:p>
            <w:pPr>
              <w:jc w:val="cent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line="240" w:lineRule="auto"/>
        <w:tabs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spacing w:line="240" w:lineRule="auto"/>
        <w:tabs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spacing w:line="240" w:lineRule="auto"/>
        <w:tabs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spacing w:line="240" w:lineRule="auto"/>
        <w:tabs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spacing w:line="240" w:lineRule="auto"/>
        <w:tabs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spacing w:line="240" w:lineRule="auto"/>
        <w:tabs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spacing w:line="240" w:lineRule="auto"/>
        <w:tabs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spacing w:line="240" w:lineRule="auto"/>
        <w:tabs>
          <w:tab w:val="left" w:pos="4253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line="240" w:lineRule="auto"/>
        <w:tabs>
          <w:tab w:val="left" w:pos="4253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line="240" w:lineRule="auto"/>
        <w:tabs>
          <w:tab w:val="left" w:pos="4253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line="240" w:lineRule="auto"/>
        <w:tabs>
          <w:tab w:val="left" w:pos="4253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spacing w:line="240" w:lineRule="auto"/>
        <w:tabs>
          <w:tab w:val="left" w:pos="4253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996"/>
        <w:numPr>
          <w:ilvl w:val="0"/>
          <w:numId w:val="2"/>
        </w:numPr>
        <w:ind w:left="0" w:right="0" w:firstLine="850"/>
        <w:keepNext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ОБЩИЕ СВЕДЕНИЯ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6"/>
        <w:numPr>
          <w:ilvl w:val="1"/>
          <w:numId w:val="1"/>
        </w:numPr>
        <w:contextualSpacing/>
        <w:ind w:left="567" w:right="0" w:firstLine="283"/>
        <w:keepNext/>
        <w:spacing w:after="142" w:line="35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закупаемой продукции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                                        ОКПД2 43.99 Выполнение работ по ремонту зданий и сооружений Николаевской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ТЭЦ, г. Николаевск-на-Амуре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6"/>
        <w:numPr>
          <w:ilvl w:val="1"/>
          <w:numId w:val="1"/>
        </w:numPr>
        <w:ind w:left="0" w:firstLine="850"/>
        <w:keepLines/>
        <w:keepNext/>
        <w:spacing w:after="142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Цель выполнения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96"/>
        <w:ind w:left="0" w:firstLine="850"/>
        <w:jc w:val="both"/>
        <w:keepLines/>
        <w:keepNext/>
        <w:spacing w:after="142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  <w:sz w:val="22"/>
          <w:szCs w:val="22"/>
          <w:u w:val="none"/>
        </w:rPr>
        <w:t xml:space="preserve">Приведение зданий и сооружений Николаевской ТЭЦ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  <w:sz w:val="22"/>
          <w:szCs w:val="22"/>
          <w:highlight w:val="white"/>
          <w:u w:val="none"/>
        </w:rPr>
        <w:t xml:space="preserve"> </w:t>
      </w:r>
      <w:r>
        <w:rPr>
          <w:rFonts w:ascii="Times New Roman" w:hAnsi="Times New Roman" w:cs="Times New Roman"/>
          <w:b w:val="0"/>
          <w:bCs w:val="0"/>
          <w:strike w:val="0"/>
          <w:sz w:val="24"/>
          <w:szCs w:val="24"/>
          <w:highlight w:val="white"/>
        </w:rPr>
        <w:t xml:space="preserve">в исправное нормативно-техническое состояние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  <w:sz w:val="22"/>
          <w:szCs w:val="22"/>
          <w:u w:val="none"/>
        </w:rPr>
        <w:t xml:space="preserve">, с целью повышения их эксплутационных характеристик.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799"/>
        <w:contextualSpacing/>
        <w:ind w:firstLine="850"/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/>
      <w:bookmarkStart w:id="0" w:name="_Toc54646400"/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Таблица 1.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Перечень объектов заказчика</w:t>
      </w:r>
      <w:bookmarkEnd w:id="0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7"/>
        <w:gridCol w:w="4877"/>
      </w:tblGrid>
      <w:tr>
        <w:tblPrEx/>
        <w:trPr>
          <w:trHeight w:val="68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center"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67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87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Расположение объекта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4877" w:type="dxa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1005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4677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зданий и сооружений Николаевской ТЭЦ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contextualSpacing/>
              <w:keepLines/>
              <w:keepNext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Ремонт отмостки объединенно-вспомогательного блока, главный корпус 1 очереди (северная сторона) № 000000000000000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11247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487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 «Николаевская ТЭЦ», 682469, Хабаровский край,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Николаевск на Амуре, ул. Невельского, 24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05"/>
        </w:trPr>
        <w:tc>
          <w:tcPr>
            <w:tcW w:w="567" w:type="dxa"/>
            <w:vAlign w:val="center"/>
            <w:textDirection w:val="lrTb"/>
            <w:noWrap w:val="false"/>
          </w:tcPr>
          <w:p>
            <w:r>
              <w:t xml:space="preserve">2</w:t>
            </w:r>
            <w:r/>
          </w:p>
        </w:tc>
        <w:tc>
          <w:tcPr>
            <w:shd w:val="clear" w:color="ffffff" w:fill="ffffff"/>
            <w:tcW w:w="467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both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зданий и сооружений Николаевской ТЭЦ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  <w:t xml:space="preserve">Блок вспомогательных помещений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  <w:t xml:space="preserve"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996"/>
              <w:numPr>
                <w:ilvl w:val="0"/>
                <w:numId w:val="52"/>
              </w:numPr>
              <w:ind w:right="0"/>
              <w:jc w:val="left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Распредустройства секции 5Н0,6Н0 панели ПСН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00000000000000011221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Замена дверей РУСН-6/0,4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-1 шт)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W w:w="4877" w:type="dxa"/>
            <w:vAlign w:val="center"/>
            <w:textDirection w:val="lrTb"/>
            <w:noWrap w:val="false"/>
          </w:tcPr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 «Николаевская ТЭЦ», 682469, Хабаровский край,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Николаевск на Амуре, ул. Невельского, 24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05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r>
              <w:t xml:space="preserve">3</w:t>
            </w:r>
            <w:r/>
          </w:p>
        </w:tc>
        <w:tc>
          <w:tcPr>
            <w:shd w:val="clear" w:color="ffffff" w:fill="ffffff"/>
            <w:tcW w:w="4677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зданий и сооружений Николаевской ТЭЦ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  <w:t xml:space="preserve">Береговая насосная станция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  <w:t xml:space="preserve"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996"/>
              <w:numPr>
                <w:ilvl w:val="0"/>
                <w:numId w:val="53"/>
              </w:numPr>
              <w:ind w:right="0"/>
              <w:jc w:val="left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Распредустройство береговой насосной 1Н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00000000000000011173(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Замена дверей РУСН-06/0,4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- 1шт)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87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 «Николаевская ТЭЦ», 682469, Хабаровский край,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Николаевск на Амуре, ул. Невельского, 24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05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r>
              <w:t xml:space="preserve">4</w:t>
            </w:r>
            <w:r/>
          </w:p>
        </w:tc>
        <w:tc>
          <w:tcPr>
            <w:shd w:val="clear" w:color="ffffff" w:fill="ffffff"/>
            <w:tcW w:w="4677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зданий и сооружений Николаевской ТЭЦ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  <w:t xml:space="preserve">Объединено-вспомогательный блок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  <w:t xml:space="preserve"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996"/>
              <w:numPr>
                <w:ilvl w:val="0"/>
                <w:numId w:val="57"/>
              </w:numPr>
              <w:ind w:right="0"/>
              <w:jc w:val="left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Коллекторный узел управления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00000000000000011083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(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Замена дверей объединено- вспомогательного блока УОНС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 - 1 шт)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96"/>
              <w:numPr>
                <w:ilvl w:val="0"/>
                <w:numId w:val="54"/>
              </w:numPr>
              <w:ind w:right="0"/>
              <w:jc w:val="left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Распределительное  устройство I очереди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00000000000000010525 (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Замена дверей РУСН-6/0,4 первой очереди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-1шт)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96"/>
              <w:numPr>
                <w:ilvl w:val="0"/>
                <w:numId w:val="54"/>
              </w:numPr>
              <w:ind w:right="0"/>
              <w:jc w:val="left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Распределительное  устройство II очереди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00000000000000010624 (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Замена дверей РУСН-6/0,4 второй очереди -1шт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)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996"/>
              <w:numPr>
                <w:ilvl w:val="0"/>
                <w:numId w:val="54"/>
              </w:numPr>
              <w:ind w:right="0"/>
              <w:jc w:val="left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Сдвоенная электролизерная установка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00000000000000011593 (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Замена дверей щит управления электролизной,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Замена дверей электролизная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2шт)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87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 «Николаевская ТЭЦ», 682469, Хабаровский край,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Николаевск на Амуре, ул. Невельского, 24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05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4677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зданий и сооружений Николаевской ТЭЦ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  <w:t xml:space="preserve">Здание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  <w:t xml:space="preserve">мазутонасосной РСМ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  <w:t xml:space="preserve">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r>
          </w:p>
          <w:p>
            <w:pPr>
              <w:pStyle w:val="996"/>
              <w:numPr>
                <w:ilvl w:val="0"/>
                <w:numId w:val="55"/>
              </w:numPr>
              <w:ind w:right="0"/>
              <w:jc w:val="both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Распредустройство СН-0,4 мазуто-насосной секции 1н РСМ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00000000000000011255 (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Замена дверей РУСН-6/0,4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- 1шт).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87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 «Николаевская ТЭЦ», 682469, Хабаровский край,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Николаевск на Амуре, ул. Невельского, 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05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4677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зданий и сооружений Николаевской ТЭЦ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ind w:left="0" w:right="0" w:firstLine="0"/>
              <w:jc w:val="both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  <w:t xml:space="preserve">Замена окон галереи,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  <w:t xml:space="preserve">Объединенно-вспомогательный блок №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000000000000000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11247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87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 «Николаевская ТЭЦ», 682469, Хабаровский край,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Николаевск на Амуре, ул. Невельского, 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05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4677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зданий и сооружений Николаевской ТЭЦ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both"/>
              <w:spacing w:after="0" w:line="276" w:lineRule="auto"/>
              <w:tabs>
                <w:tab w:val="left" w:pos="0" w:leader="none"/>
                <w:tab w:val="left" w:pos="992" w:leader="none"/>
              </w:tabs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  <w:t xml:space="preserve">Замена окон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  <w:t xml:space="preserve">Блок вспомогательных помещений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  <w:t xml:space="preserve"> (химический цех) № 000000000000000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  <w:t xml:space="preserve">10976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87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 «Николаевская ТЭЦ», 682469, Хабаровский край,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Николаевск на Амуре, ул. Невельского, 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contextualSpacing/>
              <w:keepLines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</w:tbl>
    <w:p>
      <w:pPr>
        <w:pStyle w:val="802"/>
        <w:contextualSpacing/>
        <w:ind w:firstLine="850"/>
        <w:spacing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1.3.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bookmarkStart w:id="1" w:name="_Toc46743509"/>
      <w:r/>
      <w:bookmarkStart w:id="2" w:name="_Hlk49857604"/>
      <w:r/>
      <w:bookmarkStart w:id="3" w:name="_Toc54646401"/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Информация в отношении исполнения договора, </w:t>
      </w:r>
      <w:bookmarkStart w:id="4" w:name="_Hlk46492347"/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которая должна быть учтена при подготовке заявки </w:t>
      </w:r>
      <w:bookmarkEnd w:id="4"/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(в том числе перечень ресурсов, услуг и документов, пр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едоставляемых заказчиком на этапе исполнения договора)</w:t>
      </w:r>
      <w:bookmarkEnd w:id="1"/>
      <w:r/>
      <w:bookmarkEnd w:id="2"/>
      <w:r/>
      <w:bookmarkEnd w:id="3"/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02"/>
        <w:contextualSpacing/>
        <w:ind w:firstLine="850"/>
        <w:spacing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выпол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нения Работ по Договору.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contextualSpacing/>
        <w:ind w:firstLine="850"/>
        <w:keepLines/>
        <w:keepNext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850"/>
        <w:keepLines/>
        <w:keepNext/>
        <w:spacing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2. Требования к продукции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contextualSpacing/>
        <w:ind w:firstLine="850"/>
        <w:keepLines/>
        <w:keepNext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2.1.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объемам и срокам выполнения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01"/>
        <w:contextualSpacing/>
        <w:ind w:firstLine="85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2.1.1.</w:t>
      </w:r>
      <w:bookmarkStart w:id="5" w:name="_Toc54646405"/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Требования к видам и объемам работ</w:t>
      </w:r>
      <w:bookmarkEnd w:id="5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850"/>
        <w:keepLines/>
        <w:keepNext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Таблица 2.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Перечень и объем выполняемых работ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851"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3826"/>
        <w:gridCol w:w="2976"/>
        <w:gridCol w:w="2552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2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 -во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826" w:type="dxa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905"/>
        </w:trPr>
        <w:tc>
          <w:tcPr>
            <w:tcW w:w="709" w:type="dxa"/>
            <w:textDirection w:val="lrTb"/>
            <w:noWrap w:val="false"/>
          </w:tcPr>
          <w:p>
            <w:pPr>
              <w:contextualSpacing/>
              <w:keepLines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26" w:type="dxa"/>
            <w:textDirection w:val="lrTb"/>
            <w:noWrap w:val="false"/>
          </w:tcPr>
          <w:p>
            <w:pPr>
              <w:contextualSpacing/>
              <w:keepLines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КПД2 43.99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Выполнение работ по ремонту зданий и сооружений Николаевской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ТЭЦ, г. Николаевск-на-Амуре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5528" w:type="dxa"/>
            <w:vAlign w:val="center"/>
            <w:textDirection w:val="lrTb"/>
            <w:noWrap w:val="false"/>
          </w:tcPr>
          <w:p>
            <w:pPr>
              <w:contextualSpacing/>
              <w:keepLines/>
              <w:keepNext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соответствии с ведомостью объемов работ (Приложение №1 к настоящим Техническим требованиям)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contextualSpacing/>
        <w:ind w:firstLine="850"/>
        <w:keepLines/>
        <w:keepNext/>
        <w:spacing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ind w:firstLine="850"/>
        <w:keepLines/>
        <w:keepNext/>
        <w:spacing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ind w:firstLine="850"/>
        <w:keepLines/>
        <w:keepNext/>
        <w:spacing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ind w:firstLine="850"/>
        <w:keepLines/>
        <w:keepNext/>
        <w:spacing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ind w:firstLine="850"/>
        <w:keepLines/>
        <w:keepNext/>
        <w:spacing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2.1.2.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ab/>
        <w:t xml:space="preserve">Требования к срокам выполнения работ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ind w:firstLine="850"/>
        <w:keepLines/>
        <w:keepNext/>
        <w:spacing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Таблица 3.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Требования к срокам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выполнения работ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tbl>
      <w:tblPr>
        <w:tblStyle w:val="851"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4535"/>
        <w:gridCol w:w="2410"/>
        <w:gridCol w:w="2410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Наименование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Требования к началу срока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Требования к окончанию срока выполнения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4535" w:type="dxa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keepLines/>
              <w:keepNext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4535" w:type="dxa"/>
            <w:textDirection w:val="lrTb"/>
            <w:noWrap w:val="false"/>
          </w:tcPr>
          <w:p>
            <w:pPr>
              <w:contextualSpacing/>
              <w:keepLines/>
              <w:keepNext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ОКПД2 43.99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Выполнение работ по ремонту зданий и сооружений Николаевской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ТЭЦ, г. Николаевск-на-Амуре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contextualSpacing/>
              <w:keepLines/>
              <w:keepNext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С даты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Lines/>
              <w:keepNext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В течении 8 (восьми) месяцев с даты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  <w:highlight w:val="none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820" w:right="709" w:bottom="711" w:left="1134" w:header="253" w:footer="63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2.2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Требования к качеству работ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spacing w:after="0" w:afterAutospacing="0"/>
        <w:tabs>
          <w:tab w:val="left" w:pos="3002" w:leader="none"/>
        </w:tabs>
        <w:rPr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t xml:space="preserve">Таблица 4.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Требования к качеству работ</w:t>
      </w:r>
      <w:r>
        <w:rPr>
          <w:highlight w:val="none"/>
        </w:rPr>
      </w:r>
      <w:r>
        <w:rPr>
          <w:highlight w:val="none"/>
        </w:rPr>
      </w:r>
    </w:p>
    <w:p>
      <w:pPr>
        <w:spacing w:after="0" w:afterAutospacing="0"/>
        <w:tabs>
          <w:tab w:val="left" w:pos="3002" w:leader="none"/>
        </w:tabs>
        <w:rPr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Наименование работ/этапа работ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 :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ОКПД2 43.99  Выполнение  работ по ремонту зданий и сооружений Николаевской ТЭЦ, г. Николаевск-на-Амуре</w:t>
      </w:r>
      <w:r>
        <w:rPr>
          <w:highlight w:val="none"/>
        </w:rPr>
      </w:r>
      <w:r>
        <w:rPr>
          <w:highlight w:val="none"/>
        </w:rPr>
      </w:r>
    </w:p>
    <w:tbl>
      <w:tblPr>
        <w:tblStyle w:val="851"/>
        <w:tblW w:w="0" w:type="auto"/>
        <w:tblInd w:w="-455" w:type="dxa"/>
        <w:tblLayout w:type="fixed"/>
        <w:tblLook w:val="04A0" w:firstRow="1" w:lastRow="0" w:firstColumn="1" w:lastColumn="0" w:noHBand="0" w:noVBand="1"/>
      </w:tblPr>
      <w:tblGrid>
        <w:gridCol w:w="739"/>
        <w:gridCol w:w="2028"/>
        <w:gridCol w:w="3215"/>
        <w:gridCol w:w="5397"/>
        <w:gridCol w:w="2036"/>
        <w:gridCol w:w="2036"/>
      </w:tblGrid>
      <w:tr>
        <w:tblPrEx/>
        <w:trPr/>
        <w:tc>
          <w:tcPr>
            <w:tcW w:w="73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20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W w:w="861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Требование заказчика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W w:w="407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Способ подтверждения участником соответствия требованиям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W w:w="73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2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861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Согласие с требованием/ указание характеристик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20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20"/>
        </w:trPr>
        <w:tc>
          <w:tcPr>
            <w:tcW w:w="739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202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gridSpan w:val="2"/>
            <w:tcW w:w="861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996"/>
              <w:numPr>
                <w:ilvl w:val="0"/>
                <w:numId w:val="5"/>
              </w:num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106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  <w:t xml:space="preserve">Требования к выполнению работ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996"/>
              <w:numPr>
                <w:ilvl w:val="1"/>
                <w:numId w:val="5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10640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  <w:t xml:space="preserve">Общие требования к выполнению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996"/>
              <w:numPr>
                <w:ilvl w:val="2"/>
                <w:numId w:val="5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02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ffffff"/>
            <w:tcW w:w="8612" w:type="dxa"/>
            <w:textDirection w:val="lrTb"/>
            <w:noWrap w:val="false"/>
          </w:tcPr>
          <w:p>
            <w:pPr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 выполнении работ 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- Правила организации технического обслуживания и ремонта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объектов электроэнергетики» (приказ Минэнерго России от 25.10.2017г. №1013);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- СТО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 (приказ АО «ДГК» от 18.01.2022г. №19);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- СТО 17330282.27.100.003-2008. Здания и сооружения ТЭС. Организация эксплуатации и технического обслуживания. Нормы и требования (утв. Приказом ОАО РАО "ЕЭС России" от 06.03.2008 N 100)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- СТО 70238424.27.100.017-2009 Тепловые электростанции. Ремонт и техническое обслуживание оборудования, зданий и сооружений. Организация производственных процессов. Нормы и требования;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 СП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48.13330.2019 «Организация строительства. Актуализированная редакция СНиП 12-01-2004»;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-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СП 68.13330.2017 «Приемка в эксплуатацию законченных строительством объектов. Основные положения. Актуализированная редакция СНиП 3.01.04-87»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tabs>
                <w:tab w:val="left" w:pos="709" w:leader="none"/>
                <w:tab w:val="left" w:pos="156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 СП 72.13330.2016. Свод правил. Защита строительных конструкций и сооружений от коррозии. СНиП 3.04.03-85 (утв. и введен в действие Приказом Минстроя России от 16.12.2016 N 965/пр) (ред. от 28.01.2019).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709" w:leader="none"/>
                <w:tab w:val="left" w:pos="156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 СП 71.13330.2017. Свод правил. Изоляционные и отделочные покрытия. Актуализированная редакция СНиП 3.04.01-87" (утв. Приказом Минстроя России от 27.02.2017 N 128/пр) (ред. от 17.12.2021).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709" w:leader="none"/>
                <w:tab w:val="left" w:pos="156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 ГОСТ 9.402-2004. Межгосударственный стандарт. Единая система защиты от коррозии и старения. Покрытия лакокрасочные. Подготовка металлических поверхностей к окрашиванию (введен в действие Приказом Ростехрегулирования от 09.06.2005 N 149-ст).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709" w:leader="none"/>
                <w:tab w:val="left" w:pos="156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9.105-80 Еди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ная система защиты от коррозии и старения (ЕСЗКС). Покрытия лакокрасочные. Классификация и основные параметры методов окрашивания (с Изменениями N 1, 2) (утвержден и введен в действие Постановлением Государственного комитета СССР по стандартам от 12.05.80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2064).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709" w:leader="none"/>
                <w:tab w:val="left" w:pos="156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 ГОСТ 9.401-2018 Единая система защиты от коррозии и старения (ЕСЗКС). Покрытия лакокрасочные. Общие требования и методы ускоренных испытаний на стойкость к воздействи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ю климатических факторов (с Изменением № 1, с Поправкой) (приказом Федерального агентства по техническому регулированию и метрологии от 13 сентября 2018 г. N 603-ст введен в действие в качестве национального стандарта Российской Федерации с 1 июля 2019 г.)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709" w:leader="none"/>
                <w:tab w:val="left" w:pos="156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 СП 45.13330.2017. Свод правил. Земляные сооружения, основания и фундаменты. Актуализированная редакция СНиП 3.02.01-87 (утв. Приказом Минстроя России от 27.02.2017 N 125/пр).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709" w:leader="none"/>
                <w:tab w:val="left" w:pos="156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 СП 82.13330.2016. Свод правил. Благоустройство территорий. Актуализированная редакция СНиП III-10-75" (утв. Приказом Минстроя России от 16.12.2016 N 972/пр) (ред. от 23.12.2019).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709" w:leader="none"/>
                <w:tab w:val="left" w:pos="156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 ГОСТ 34378-2018 Конструкции ограждающие светопрозрачные. Окна и двери. Производство монтажн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ых работ, контроль и требования к результатам работ (введен в действие приказом Федерального агентства по техническому регулированию и метрологии от 18 сентября 2018 г. N 612-ст, в качестве национального стандарта Российской Федерации с 1 октября 2018 г.).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tabs>
                <w:tab w:val="left" w:pos="709" w:leader="none"/>
                <w:tab w:val="left" w:pos="156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 ГОСТ 30973-2002 Профили поливинилхлоридные для оконных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дверных блоков. Метод определения сопротивления климатическим воздействиям и оценки долговечности (введен в действие с 1 июля 2003 г. в качестве государственного стандарта Российской Федерации постановлением Госстроя России от 2 сентября 2002 г. N 117 г.).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before="60"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- Положение об организации и выполнении технического обслуживания и ремонта оборудования АО «ДГК» 21-002-2019 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(раздел 5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).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  <w:p>
            <w:pPr>
              <w:tabs>
                <w:tab w:val="left" w:pos="709" w:leader="none"/>
                <w:tab w:val="left" w:pos="1560" w:leader="none"/>
              </w:tabs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 xml:space="preserve">- Производственные инструкции, технологические карты и проекты производства работ.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</w:r>
          </w:p>
          <w:p>
            <w:pPr>
              <w:tabs>
                <w:tab w:val="left" w:pos="709" w:leader="none"/>
                <w:tab w:val="left" w:pos="1560" w:leader="none"/>
              </w:tabs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  <w:szCs w:val="24"/>
              </w:rPr>
              <w:t xml:space="preserve">- Другие действующие нормативные документы.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</w:r>
          </w:p>
          <w:p>
            <w:pPr>
              <w:pStyle w:val="996"/>
              <w:ind w:left="0" w:right="0" w:firstLine="0"/>
              <w:jc w:val="both"/>
              <w:spacing w:line="276" w:lineRule="auto"/>
              <w:tabs>
                <w:tab w:val="left" w:pos="283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none"/>
              </w:rPr>
              <w:t xml:space="preserve">В сл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none"/>
              </w:rPr>
              <w:t xml:space="preserve">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none"/>
              </w:rPr>
              <w:t xml:space="preserve">Договора, то необходимо применять нормативный документ, принятый в его развитие.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none"/>
              </w:rPr>
              <w:t xml:space="preserve">Согласие с тре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none"/>
              </w:rPr>
              <w:t xml:space="preserve">бованием/Участник должен предоставить в заявке согласие выполнить работы, полностью соответствующие настоящим технически требованиям, по форме Технического предложения, установленной в Документации о закупке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2036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08"/>
        </w:trPr>
        <w:tc>
          <w:tcPr>
            <w:tcW w:w="739" w:type="dxa"/>
            <w:textDirection w:val="lrTb"/>
            <w:noWrap w:val="false"/>
          </w:tcPr>
          <w:p>
            <w:pPr>
              <w:pStyle w:val="996"/>
              <w:numPr>
                <w:ilvl w:val="1"/>
                <w:numId w:val="5"/>
              </w:numPr>
              <w:ind w:left="0" w:firstLine="0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0640" w:type="dxa"/>
            <w:textDirection w:val="lrTb"/>
            <w:noWrap w:val="false"/>
          </w:tcPr>
          <w:p>
            <w:pPr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организации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996"/>
              <w:numPr>
                <w:ilvl w:val="2"/>
                <w:numId w:val="5"/>
              </w:numPr>
              <w:ind w:left="0" w:firstLine="0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28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организации процесса выполнения работ: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612" w:type="dxa"/>
            <w:textDirection w:val="lrTb"/>
            <w:noWrap w:val="false"/>
          </w:tcPr>
          <w:p>
            <w:pPr>
              <w:ind w:firstLine="457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Комплекс организационно–технических мероприятий, выполняемый при подготовке к ремонту, должен обеспечивать планомерное и качественное выполнение ремонтных работ в установленные сроки, качество ремонтных работ, оптимальное расходование материаль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но-технических и трудовые ресурсов. Подрядчик разрабатывает планы подготовки к ремонту в соответствии с планами производственных объектов, принятыми к исполнению объемами работ и согласованным участием в материально–техническом обеспечении ремонтных работ.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firstLine="457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Изменения объемов работ, предусмотренных ведомостью планируемых работ, оформляются в соответс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твии с требованиями Правил ТОиР (ведомостью дополнительных работ по ремонту и протоколом исключения работ из ведомости планируемых работ по ремонту)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(Приложение №3 к Техническим требованиям)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, согласовываются с Подрядчиком и утверждаются техническим руководителем структурного подразделения, ответст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непосредственную эксплуатацию производственного объекта, определяется условиями договора.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firstLine="457"/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До начала ремонта подрядная организация: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numPr>
                <w:ilvl w:val="0"/>
                <w:numId w:val="46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164" w:leader="none"/>
                <w:tab w:val="left" w:pos="42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проводит проверку выполнения подготовительных работ в соответствии с планом подготовки к ремонту.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numPr>
                <w:ilvl w:val="0"/>
                <w:numId w:val="46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164" w:leader="none"/>
                <w:tab w:val="left" w:pos="42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определяет состав бригады (участка)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по ремонту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зданий и сооружений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 по численности, квалификации и профессиям в соответствии с графиком ремонта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  <w:t xml:space="preserve">При этом должна быть обеспечена полная занятость рабочих в течение установленных графиком сроков производства работ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numPr>
                <w:ilvl w:val="0"/>
                <w:numId w:val="46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164" w:leader="none"/>
                <w:tab w:val="left" w:pos="42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назначает руководителей работ по ремонту в соответствии с номенклатурой и объемом работ, принятым по договору;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numPr>
                <w:ilvl w:val="0"/>
                <w:numId w:val="46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164" w:leader="none"/>
                <w:tab w:val="left" w:pos="42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назначает лиц, ответственных за соблюдение норм и правил в области охраны труда, электробезопасности, пожарной и промышленной безопасности и материально–техническое обеспечение;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numPr>
                <w:ilvl w:val="0"/>
                <w:numId w:val="46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164" w:leader="none"/>
                <w:tab w:val="left" w:pos="42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проверяет удостоверения стропальщиков, крановщиков, и лиц других специальностей на право выполнения работ при ремонте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зданий и сооружений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numPr>
                <w:ilvl w:val="0"/>
                <w:numId w:val="46"/>
              </w:numPr>
              <w:contextualSpacing/>
              <w:ind w:left="0" w:firstLine="0"/>
              <w:jc w:val="both"/>
              <w:spacing w:before="60"/>
              <w:widowControl w:val="off"/>
              <w:tabs>
                <w:tab w:val="left" w:pos="164" w:leader="none"/>
                <w:tab w:val="left" w:pos="42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проверяет выполнение требований допуска ремонтного и командированного персонала, предусмотренного п. 1.2.2 Таблицы 4.1 технических требований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pStyle w:val="996"/>
              <w:ind w:left="0" w:firstLine="457"/>
              <w:jc w:val="both"/>
              <w:spacing w:after="60"/>
              <w:tabs>
                <w:tab w:val="left" w:pos="164" w:leader="none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Руководители работ подрядных организаций, участвующие в производстве Работ совместно с представителями Заказчика, осуществляют входной контроль качеств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а применяемых материалов,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bCs/>
                <w:i/>
                <w:iCs/>
                <w:sz w:val="24"/>
                <w:szCs w:val="24"/>
                <w:highlight w:val="white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25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996"/>
              <w:numPr>
                <w:ilvl w:val="2"/>
                <w:numId w:val="5"/>
              </w:numPr>
              <w:ind w:left="0" w:firstLine="0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28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Организационно-технические мероприяти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я по допуску персонала подрядчика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8612" w:type="dxa"/>
            <w:vMerge w:val="restart"/>
            <w:textDirection w:val="lrTb"/>
            <w:noWrap w:val="false"/>
          </w:tcPr>
          <w:p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highlight w:val="white"/>
              </w:rPr>
              <w:t xml:space="preserve">Допуск персонала подрядчика для выполнения работ должен осуществляться в соответствии с: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11"/>
              </w:numPr>
              <w:ind w:left="0" w:firstLine="360"/>
              <w:jc w:val="both"/>
              <w:tabs>
                <w:tab w:val="left" w:pos="406" w:leader="none"/>
                <w:tab w:val="left" w:pos="709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Положением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о допуске персонала подрядных организаций к выполнению работ на объектах АО «ДГК» 22.1-504-2025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 (утверждено приказом АО «ДГК» № П-ДГК/795 от 25.09.2025) (Приложение №3 к Техническим требованиям)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left="0" w:firstLine="0"/>
              <w:jc w:val="both"/>
              <w:tabs>
                <w:tab w:val="left" w:pos="406" w:leader="none"/>
                <w:tab w:val="left" w:pos="7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bCs/>
                <w:i/>
                <w:iCs/>
                <w:sz w:val="24"/>
                <w:szCs w:val="24"/>
                <w:highlight w:val="white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33"/>
        </w:trPr>
        <w:tc>
          <w:tcPr>
            <w:tcW w:w="739" w:type="dxa"/>
            <w:textDirection w:val="lrTb"/>
            <w:noWrap w:val="false"/>
          </w:tcPr>
          <w:p>
            <w:pPr>
              <w:pStyle w:val="996"/>
              <w:numPr>
                <w:ilvl w:val="1"/>
                <w:numId w:val="5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0640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используемым материалам, контролю качества работ и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28"/>
        </w:trPr>
        <w:tc>
          <w:tcPr>
            <w:tcW w:w="739" w:type="dxa"/>
            <w:vAlign w:val="center"/>
            <w:textDirection w:val="lrTb"/>
            <w:noWrap w:val="false"/>
          </w:tcPr>
          <w:p>
            <w:pPr>
              <w:pStyle w:val="996"/>
              <w:numPr>
                <w:ilvl w:val="2"/>
                <w:numId w:val="5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28" w:type="dxa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используемым материально – техническим ресурсам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612" w:type="dxa"/>
            <w:textDirection w:val="lrTb"/>
            <w:noWrap w:val="false"/>
          </w:tcPr>
          <w:p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Материалы, необходимые для выполнения работ приобретаются Подрядчиком самостоятельно согласно ведомости материалов Подрядчика (приложение № 1.1).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13"/>
              </w:numPr>
              <w:ind w:left="35"/>
              <w:jc w:val="both"/>
              <w:tabs>
                <w:tab w:val="left" w:pos="406" w:leader="none"/>
              </w:tabs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 Подрядчиком в работе могут быть применены эквивалентные материалы*, предварительно согласованные с Заказчиком.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21"/>
              </w:numPr>
              <w:ind w:left="35"/>
              <w:jc w:val="both"/>
              <w:tabs>
                <w:tab w:val="left" w:pos="406" w:leader="none"/>
              </w:tabs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В случае, ес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ли на этапе исполнения договора Подрядчиком, вместо материалов конкретных торговых знаков, марок и/или наименований, указанных в технической и сметной документации, будет применяться эквивалентная продукция, Подрядчик принимает на себя все затраты по внесе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нию соответствующих изменений в техническую и сметную документацию, а также согласованию ее с Заказчиком без увеличения общей стоимости по Договору.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21"/>
              </w:numPr>
              <w:contextualSpacing/>
              <w:ind w:left="35"/>
              <w:jc w:val="both"/>
              <w:spacing w:after="60"/>
              <w:tabs>
                <w:tab w:val="left" w:pos="40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highlight w:val="white"/>
              </w:rPr>
              <w:t xml:space="preserve">* Эквивалентная продукция - это продукция, которая по техническим и функциональным характеристикам не уступ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highlight w:val="white"/>
              </w:rPr>
              <w:t xml:space="preserve">ает характеристикам, указанных в перечне материалов Подрядчика и технической документации.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582"/>
        </w:trPr>
        <w:tc>
          <w:tcPr>
            <w:tcW w:w="739" w:type="dxa"/>
            <w:vAlign w:val="center"/>
            <w:vMerge w:val="restart"/>
            <w:textDirection w:val="lrTb"/>
            <w:noWrap w:val="false"/>
          </w:tcPr>
          <w:p>
            <w:pPr>
              <w:pStyle w:val="996"/>
              <w:numPr>
                <w:ilvl w:val="2"/>
                <w:numId w:val="5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28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используемых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612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работ подрядных организаций, совместно с представителями Заказчика, осуществляют входной контроль качества применяемых материалов.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Материалы Подрядчика должны иметь сертификаты, паспорта и другие документы, подтверждающие их качество.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уществлении Подрядчиком входного контроля качества материально-технических ресурсов, поступивших на место производства работ, обязательно наличие и ведение журнала входного учета и контроля качества получаемых материалов. Отсутствие записи о приемке матери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алов и оборудовании в данном журнале дает основание Заказчику в отказе приемки выполненных работ с использованием соответствующих материалов.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 xml:space="preserve">Более Подробно требования указаны в проекте договора подряда (в том числе в разделе №2), который включен в состав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 xml:space="preserve"> Документации о закупке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61"/>
        </w:trPr>
        <w:tc>
          <w:tcPr>
            <w:tcW w:w="739" w:type="dxa"/>
            <w:vAlign w:val="center"/>
            <w:vMerge w:val="restart"/>
            <w:textDirection w:val="lrTb"/>
            <w:noWrap w:val="false"/>
          </w:tcPr>
          <w:p>
            <w:pPr>
              <w:pStyle w:val="996"/>
              <w:numPr>
                <w:ilvl w:val="2"/>
                <w:numId w:val="5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28" w:type="dxa"/>
            <w:vMerge w:val="restart"/>
            <w:textDirection w:val="lrTb"/>
            <w:noWrap w:val="false"/>
          </w:tcPr>
          <w:p>
            <w:pPr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tcW w:w="8612" w:type="dxa"/>
            <w:vMerge w:val="restart"/>
            <w:textDirection w:val="lrTb"/>
            <w:noWrap w:val="false"/>
          </w:tcPr>
          <w:p>
            <w:pPr>
              <w:jc w:val="both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законом № 184-ФЗ «О техническом регулировании» Подрядчик принимает на себя добровольное обязательство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соблюдении требований правил, технических условий, ГОСТ, ПЭУ и других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работ подрядных организаций, участвующие в производстве Работ совместно с представителями Заказчика, проводят оперативный контроль качества выполняемых ремонтных работ, проверяют соблюдение технологической дисциплины (выполнение требований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хнологической документации, качества применяемой оснастки, приспособлений и инструмента).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Подробно указаны в проекте договора подряда (в том числе в разделе № 2), который включен в состав Документации о закупке.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996"/>
              <w:numPr>
                <w:ilvl w:val="1"/>
                <w:numId w:val="5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gridSpan w:val="3"/>
            <w:tcW w:w="10640" w:type="dxa"/>
            <w:vMerge w:val="restart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Требования к персоналу подрядчика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82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1.4.1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2028" w:type="dxa"/>
            <w:vMerge w:val="restart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Квалификация персонала подрядчика, привлекаемого к выполнению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8612" w:type="dxa"/>
            <w:vMerge w:val="restart"/>
            <w:textDirection w:val="lrTb"/>
            <w:noWrap w:val="false"/>
          </w:tcPr>
          <w:p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Подрядчик должен иметь минимально необходимое для выполнения работ количество квалифицированного персонала (оформленного в соответствии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 Гражданским Кодексом Российской Федерации или привлекаемого по трудовым либо гражданско-правовым договорам, либо планируемого к привлечению, в том числе по договорам субподряда)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jc w:val="both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До начала проведения работ в рамках исполнения договора после его заключени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я подрядчик предоставляет: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6"/>
              </w:numPr>
              <w:ind w:left="34" w:firstLine="249"/>
              <w:jc w:val="both"/>
              <w:widowControl w:val="off"/>
              <w:tabs>
                <w:tab w:val="left" w:pos="567" w:leader="none"/>
                <w:tab w:val="left" w:pos="3685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список персонала с указан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996"/>
              <w:numPr>
                <w:ilvl w:val="1"/>
                <w:numId w:val="5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0640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Требования к безопасности работ и охране труда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996"/>
              <w:numPr>
                <w:ilvl w:val="2"/>
                <w:numId w:val="5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2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Требования к безопасности выполняемых работ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8612" w:type="dxa"/>
            <w:textDirection w:val="lrTb"/>
            <w:noWrap w:val="false"/>
          </w:tcPr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tabs>
                <w:tab w:val="left" w:pos="360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СП 49.13330.2010 «Безопасность труда в строительстве» Часть 1. Общие требования. Приняты и введены в действие Постановлением Госстроя РФ от 23.07.2001 г. № 80;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jc w:val="both"/>
              <w:tabs>
                <w:tab w:val="left" w:pos="360" w:leader="none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- СНиП 12-04-2002 «Безопасность труда в строительстве» Часть 2. Строительное производство». Приняты и введены в действие Постановлением Госстроя РФ от 17.09.2002 г. №123;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jc w:val="both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 xml:space="preserve">Более подробно требования указаны в проекте договора подряда (в том числе в разделе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 xml:space="preserve"> №2), который включен в состав Документации о закупке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96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996"/>
              <w:numPr>
                <w:ilvl w:val="2"/>
                <w:numId w:val="5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2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Соблюдение требований пожарной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8612" w:type="dxa"/>
            <w:vMerge w:val="restart"/>
            <w:textDirection w:val="lrTb"/>
            <w:noWrap w:val="false"/>
          </w:tcPr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tabs>
                <w:tab w:val="left" w:pos="36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- Правилах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tabs>
                <w:tab w:val="left" w:pos="360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- №123-ФЗ от 22.07.2008 «Технический регламент о требованиях пожарной безопасности».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- ГОСТ 12.1.004-91* Система стандартов безопасности труда. Пожарная безопасность. Общие требования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contextualSpacing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Ремонтная площадка должна быть оснащена средствами пожаротушения.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ind w:left="0" w:firstLine="0"/>
              <w:jc w:val="both"/>
              <w:tabs>
                <w:tab w:val="left" w:pos="2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случае, если какой-либо из указанных нормативных документов был отменен в связи с выпуском новой реда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кции стандарта в процессе проведения закупки и/или исполнения Договора, то необходимо применять нормативный документ, принятый в его развитие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996"/>
              <w:numPr>
                <w:ilvl w:val="2"/>
                <w:numId w:val="5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2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Соблюдение требований к охране окружающей среды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8612" w:type="dxa"/>
            <w:vMerge w:val="restart"/>
            <w:textDirection w:val="lrTb"/>
            <w:noWrap w:val="false"/>
          </w:tcPr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При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 выполнении всех строительных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Отходы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, строительный мусор должны своевременно вывозиться для дальнейшей утилизации.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Мероприятия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 и работы по охране окружающей среды вести в соответствии: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contextualSpacing/>
              <w:ind w:right="225"/>
              <w:jc w:val="both"/>
              <w:widowControl w:val="off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- Федеральный закон от 10.01.2002 № 7-ФЗ «Об охране окружающей среды» (ред. от 28.12.2025);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contextualSpacing/>
              <w:ind w:right="225"/>
              <w:jc w:val="both"/>
              <w:widowControl w:val="off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- Федеральный закон от 04.05.1999 № 96-ФЗ «Об охране атмосферного воздуха» (ред. от 08.08.2024);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ind w:right="227"/>
              <w:jc w:val="both"/>
              <w:spacing w:after="80"/>
              <w:widowControl w:val="off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- Вод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ный кодекс Российской Федерации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pStyle w:val="996"/>
              <w:ind w:left="0"/>
              <w:jc w:val="both"/>
              <w:tabs>
                <w:tab w:val="left" w:pos="2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white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96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996"/>
              <w:numPr>
                <w:ilvl w:val="2"/>
                <w:numId w:val="5"/>
              </w:numPr>
              <w:ind w:hanging="1199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2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2"/>
            </w:pPr>
            <w:r>
              <w:rPr>
                <w:rFonts w:ascii="Times New Roman" w:hAnsi="Times New Roman" w:eastAsia="Calibri" w:cs="Times New Roman"/>
                <w:sz w:val="24"/>
                <w:szCs w:val="24"/>
                <w:highlight w:val="white"/>
              </w:rPr>
              <w:t xml:space="preserve">Соблюдение требований охраны труда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8612" w:type="dxa"/>
            <w:vMerge w:val="restart"/>
            <w:textDirection w:val="lrTb"/>
            <w:noWrap w:val="false"/>
          </w:tcPr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Контроль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Ознакомить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Организация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 ремонтной площадки, участков работ и рабочих мест должна обеспечивать безопасность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труда работающих на всех этапах выполнения строительно-монтажных работ. Для производства работ в охранной зоне необходимо получить наряд-допуск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(Приложение №3 к Техническим требованиям)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Меры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  <w:t xml:space="preserve">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</w:r>
          </w:p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Правила по охране труда при работе на высоте (утверждены приказом Министерства труда от 16.11.2020 №782н)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Правила по охране труда при работе с инструментом и приспособлениями (утверждены приказом Министерства труда от 27.11.2020 № 835н);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Правила по охране труда при эксплуатации электроустановок, утвержденные Приказом Министерства труда и социальной защиты РФ от 15.12.2020 №903н.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Правила по охране труда при обработке металлов (утв. приказом Министерства труда и социальной защиты Российской Федерации от 11.12.2020г. №887н);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28.10.2020г. №753н);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ind w:firstLine="460"/>
              <w:jc w:val="both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Правила при выполнении электросварочных и газосварочных работ (утв. приказом Министерства труда и социальной защиты Российской Федерации от 11.12.2020г. №884н);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numPr>
                <w:ilvl w:val="0"/>
                <w:numId w:val="7"/>
              </w:numPr>
              <w:contextualSpacing/>
              <w:ind w:left="62" w:firstLine="0"/>
              <w:jc w:val="both"/>
              <w:tabs>
                <w:tab w:val="left" w:pos="313" w:leader="none"/>
                <w:tab w:val="left" w:pos="413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 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Правила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26.11.2020г. №461).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ind w:left="0"/>
              <w:jc w:val="both"/>
              <w:tabs>
                <w:tab w:val="left" w:pos="2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закупки и/или исполнения Договора, то необходимо применять нормативный документ, принятый в его 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contextualSpacing/>
              <w:jc w:val="both"/>
              <w:tabs>
                <w:tab w:val="left" w:pos="572" w:leader="none"/>
              </w:tabs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 xml:space="preserve">Более подробно требования указаны в проекте договора подряда (в том числе в разделе № 2), который включен в состав Документации о закупке)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 xml:space="preserve">Согласие с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highlight w:val="white"/>
              </w:rPr>
              <w:t xml:space="preserve">требованием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996"/>
              <w:numPr>
                <w:ilvl w:val="0"/>
                <w:numId w:val="5"/>
              </w:num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064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к результатам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tabs>
                <w:tab w:val="center" w:pos="116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18"/>
        </w:trPr>
        <w:tc>
          <w:tcPr>
            <w:tcW w:w="739" w:type="dxa"/>
            <w:vAlign w:val="center"/>
            <w:textDirection w:val="lrTb"/>
            <w:noWrap w:val="false"/>
          </w:tcPr>
          <w:p>
            <w:pPr>
              <w:pStyle w:val="996"/>
              <w:numPr>
                <w:ilvl w:val="1"/>
                <w:numId w:val="5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0640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требования к результатам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highlight w:val="white"/>
              </w:rPr>
              <w:t xml:space="preserve">Состояние зданий и сооружений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highlight w:val="white"/>
              </w:rPr>
              <w:t xml:space="preserve">после ремонта должно соответствовать требованиям нормативно-технической документации в течение гарантийного срока.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9" w:type="dxa"/>
            <w:vAlign w:val="center"/>
            <w:textDirection w:val="lrTb"/>
            <w:noWrap w:val="false"/>
          </w:tcPr>
          <w:p>
            <w:pPr>
              <w:pStyle w:val="996"/>
              <w:numPr>
                <w:ilvl w:val="1"/>
                <w:numId w:val="5"/>
              </w:numPr>
              <w:ind w:left="0" w:firstLine="0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0640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Требования к порядку приемки результатов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Подробно указаны в проекте договора подряда (в том числе в разделе № 4), который включен в состав 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996"/>
              <w:numPr>
                <w:ilvl w:val="1"/>
                <w:numId w:val="5"/>
              </w:numPr>
              <w:ind w:left="-117" w:firstLine="142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064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оформлению документации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(Приложение №4)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  <w:p>
            <w:pPr>
              <w:ind w:firstLine="0"/>
              <w:jc w:val="both"/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Представить Заказчику с актами выполненных работ (в 3-х (трёх) экземплярах, а также электронные версии Акта КС-2 и Справки КС-3 в формате *gsfx ПК «ГРАНД Сметы» на цифровом носителе) исполнительную документацию в электронном виде (в формате *.pdf) и на бум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ажном носителе в 2-х экземплярах.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jc w:val="both"/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Iosevka Term SS03" w:cs="Times New Roman"/>
                <w:color w:val="000000" w:themeColor="text1"/>
                <w:sz w:val="24"/>
                <w:szCs w:val="24"/>
                <w:highlight w:val="white"/>
              </w:rPr>
              <w:t xml:space="preserve">Исполнительная документация должна быть оформлена в соответствии с: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20"/>
              </w:numPr>
              <w:ind w:left="0" w:firstLine="283"/>
              <w:jc w:val="both"/>
              <w:shd w:val="clear" w:color="auto" w:fill="ffffff"/>
              <w:tabs>
                <w:tab w:val="left" w:pos="425" w:leader="none"/>
                <w:tab w:val="left" w:pos="156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Iosevka Term SS03" w:cs="Times New Roman"/>
                <w:color w:val="000000" w:themeColor="text1"/>
                <w:sz w:val="24"/>
                <w:szCs w:val="24"/>
                <w:highlight w:val="white"/>
              </w:rPr>
              <w:t xml:space="preserve">Приказом Министерства строительства и ЖКХ №344 от 16.05.2023 «С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остав и порядок ведения исполнительной документации при строительстве, реконструкции, капит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альном ремонте объектов капитального строительства»</w:t>
            </w:r>
            <w:r>
              <w:rPr>
                <w:rFonts w:ascii="Times New Roman" w:hAnsi="Times New Roman" w:eastAsia="Iosevka Term SS03" w:cs="Times New Roman"/>
                <w:color w:val="000000" w:themeColor="text1"/>
                <w:sz w:val="24"/>
                <w:szCs w:val="24"/>
                <w:highlight w:val="white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283" w:firstLine="0"/>
              <w:jc w:val="both"/>
              <w:shd w:val="clear" w:color="auto" w:fill="ffffff"/>
              <w:tabs>
                <w:tab w:val="left" w:pos="317" w:leader="none"/>
                <w:tab w:val="left" w:pos="156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-Подрядчик обязан оформить и передать Заказчику исполнительную и сдаточную документацию в следующем составе, но не ограничиваясь: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19"/>
              </w:numPr>
              <w:ind w:left="0" w:right="72" w:firstLine="142"/>
              <w:jc w:val="both"/>
              <w:widowControl w:val="off"/>
              <w:tabs>
                <w:tab w:val="left" w:pos="42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комиссионные акты входного контроля закупаемых Подрядчиком материалов (в произвольной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орме) на соответствие продукции требованиям технической документации;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19"/>
              </w:numPr>
              <w:ind w:left="0" w:right="72" w:firstLine="142"/>
              <w:jc w:val="both"/>
              <w:widowControl w:val="off"/>
              <w:tabs>
                <w:tab w:val="left" w:pos="42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19"/>
              </w:numPr>
              <w:ind w:left="0" w:right="72" w:firstLine="142"/>
              <w:jc w:val="both"/>
              <w:widowControl w:val="off"/>
              <w:tabs>
                <w:tab w:val="left" w:pos="42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счета-фактуры на материалы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закупаемые Подрядчиком для использования в процессе ремонта;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19"/>
              </w:numPr>
              <w:ind w:left="0" w:right="72" w:firstLine="142"/>
              <w:jc w:val="both"/>
              <w:tabs>
                <w:tab w:val="left" w:pos="42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исполнительные чертежи;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19"/>
              </w:numPr>
              <w:ind w:left="0" w:right="72" w:firstLine="142"/>
              <w:jc w:val="both"/>
              <w:widowControl w:val="off"/>
              <w:tabs>
                <w:tab w:val="left" w:pos="42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табель учета рабочего времени Подрядчика;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19"/>
              </w:numPr>
              <w:ind w:left="0" w:right="72" w:firstLine="142"/>
              <w:jc w:val="both"/>
              <w:widowControl w:val="off"/>
              <w:tabs>
                <w:tab w:val="left" w:pos="42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журнал работ (Приложение №5 к Техническим требованиям);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19"/>
              </w:numPr>
              <w:ind w:left="0" w:right="72" w:firstLine="142"/>
              <w:jc w:val="both"/>
              <w:widowControl w:val="off"/>
              <w:tabs>
                <w:tab w:val="left" w:pos="42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специальные журналы работ (соответствующие видам выполняемых работ)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19"/>
              </w:numPr>
              <w:ind w:left="0" w:right="72" w:firstLine="142"/>
              <w:jc w:val="both"/>
              <w:widowControl w:val="off"/>
              <w:tabs>
                <w:tab w:val="left" w:pos="42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 освидетельствования скрытых работ;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19"/>
              </w:numPr>
              <w:contextualSpacing w:val="0"/>
              <w:ind w:left="0" w:right="72" w:firstLine="142"/>
              <w:jc w:val="both"/>
              <w:shd w:val="clear" w:color="auto" w:fill="ffffff"/>
              <w:widowControl w:val="off"/>
              <w:tabs>
                <w:tab w:val="left" w:pos="42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 предремонтного обследования объекта;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19"/>
              </w:numPr>
              <w:ind w:left="0" w:right="72" w:firstLine="142"/>
              <w:jc w:val="both"/>
              <w:shd w:val="clear" w:color="auto" w:fill="ffffff"/>
              <w:widowControl w:val="off"/>
              <w:tabs>
                <w:tab w:val="left" w:pos="42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планируемых ремонтно-строительных работ;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19"/>
              </w:numPr>
              <w:ind w:left="0" w:right="72" w:firstLine="142"/>
              <w:jc w:val="both"/>
              <w:shd w:val="clear" w:color="auto" w:fill="ffffff"/>
              <w:widowControl w:val="off"/>
              <w:tabs>
                <w:tab w:val="left" w:pos="42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 готовности здания, сооружения к производству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19"/>
              </w:numPr>
              <w:ind w:left="0" w:right="72" w:firstLine="142"/>
              <w:jc w:val="both"/>
              <w:shd w:val="clear" w:color="auto" w:fill="ffffff"/>
              <w:widowControl w:val="off"/>
              <w:tabs>
                <w:tab w:val="left" w:pos="42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 приёмки из ремонта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здания, сооружения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6"/>
              <w:numPr>
                <w:ilvl w:val="0"/>
                <w:numId w:val="18"/>
              </w:numPr>
              <w:ind w:left="0" w:firstLine="142"/>
              <w:jc w:val="both"/>
              <w:spacing w:before="60"/>
              <w:tabs>
                <w:tab w:val="left" w:pos="425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другие документы по усмотрению Сторон с учетом специфики Работ.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996"/>
              <w:numPr>
                <w:ilvl w:val="0"/>
                <w:numId w:val="5"/>
              </w:num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0640" w:type="dxa"/>
            <w:vAlign w:val="center"/>
            <w:textDirection w:val="lrTb"/>
            <w:noWrap w:val="false"/>
          </w:tcPr>
          <w:p>
            <w:pPr>
              <w:spacing w:befor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Подробно указаны в проекте договора подряда (в том числе в разделе №2), который включен в соста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Документации о закупке.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39" w:type="dxa"/>
            <w:textDirection w:val="lrTb"/>
            <w:noWrap w:val="false"/>
          </w:tcPr>
          <w:p>
            <w:pPr>
              <w:pStyle w:val="996"/>
              <w:numPr>
                <w:ilvl w:val="0"/>
                <w:numId w:val="5"/>
              </w:num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0640" w:type="dxa"/>
            <w:vAlign w:val="center"/>
            <w:textDirection w:val="lrTb"/>
            <w:noWrap w:val="false"/>
          </w:tcPr>
          <w:p>
            <w:pPr>
              <w:jc w:val="both"/>
              <w:spacing w:before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ответственности и гарантиям подрядчика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ourier New" w:cs="Times New Roman"/>
                <w:i/>
                <w:color w:val="000000"/>
                <w:sz w:val="24"/>
                <w:szCs w:val="24"/>
                <w:lang w:bidi="ru-RU"/>
              </w:rPr>
              <w:t xml:space="preserve">Подробно требования к сроку и объему предоставления гарантий указаны в проекте договора подряда </w:t>
            </w:r>
            <w:r>
              <w:rPr>
                <w:rFonts w:ascii="Times New Roman" w:hAnsi="Times New Roman" w:eastAsia="Courier New" w:cs="Times New Roman"/>
                <w:i/>
                <w:iCs/>
                <w:color w:val="000000"/>
                <w:sz w:val="24"/>
                <w:szCs w:val="24"/>
                <w:lang w:bidi="ru-RU"/>
              </w:rPr>
              <w:t xml:space="preserve">(в том числе в разделах №6 и №7</w:t>
            </w:r>
            <w:r>
              <w:rPr>
                <w:rFonts w:ascii="Times New Roman" w:hAnsi="Times New Roman" w:eastAsia="Courier New" w:cs="Times New Roman"/>
                <w:i/>
                <w:color w:val="000000"/>
                <w:sz w:val="24"/>
                <w:szCs w:val="24"/>
                <w:lang w:bidi="ru-RU"/>
              </w:rPr>
              <w:t xml:space="preserve">), который включен в состав Документации о закупке.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20"/>
        </w:trPr>
        <w:tc>
          <w:tcPr>
            <w:tcW w:w="739" w:type="dxa"/>
            <w:textDirection w:val="lrTb"/>
            <w:noWrap w:val="false"/>
          </w:tcPr>
          <w:p>
            <w:pPr>
              <w:pStyle w:val="996"/>
              <w:numPr>
                <w:ilvl w:val="0"/>
                <w:numId w:val="5"/>
              </w:num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0640" w:type="dxa"/>
            <w:vAlign w:val="center"/>
            <w:textDirection w:val="lrTb"/>
            <w:noWrap w:val="false"/>
          </w:tcPr>
          <w:p>
            <w:pPr>
              <w:keepNext/>
              <w:spacing w:before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Требования к субподрядным организациям, привлекаемым к выполнению работ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подробно указаны в проекте договора подряда (в том числе в разделе №2), который включен в состав 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0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20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pStyle w:val="996"/>
              <w:numPr>
                <w:ilvl w:val="0"/>
                <w:numId w:val="5"/>
              </w:numPr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0640" w:type="dxa"/>
            <w:vAlign w:val="center"/>
            <w:vMerge w:val="restart"/>
            <w:textDirection w:val="lrTb"/>
            <w:noWrap w:val="false"/>
          </w:tcPr>
          <w:p>
            <w:pPr>
              <w:keepNext/>
              <w:spacing w:before="6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победителю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203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20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ind w:left="0" w:firstLine="0"/>
              <w:jc w:val="left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5"/>
            <w:tcW w:w="14712" w:type="dxa"/>
            <w:vAlign w:val="center"/>
            <w:vMerge w:val="restart"/>
            <w:textDirection w:val="lrTb"/>
            <w:noWrap w:val="false"/>
          </w:tcPr>
          <w:p>
            <w:pPr>
              <w:ind w:firstLine="720"/>
              <w:jc w:val="both"/>
              <w:keepNext/>
              <w:spacing w:before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Участник, признанный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 победителем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закупочной процедуры, в течение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</w:rPr>
              <w:t xml:space="preserve">5 (пяти)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рабочих дней после размещения протокола подведения  итогов закупки на сайте  www.zakupki.gov.ru  (до заключения договора), должен предоставить в адрес Заказчика на электронный адре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 (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bondarenko-li@dgk.ru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)  дополнительные документы.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ind w:firstLine="720"/>
              <w:jc w:val="both"/>
              <w:keepNext/>
              <w:spacing w:before="6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 условиями Документации о закупке, Победитель признаетс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я уклонившимся от заключения Договора и утрачивает статус Победителя, а  Закупочная комиссия имеет право выбрать в качестве Победителя иного Участника, занявшего следующее место в ранжировке заявок  после Победителя, из числа остальных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щ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/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3572"/>
        </w:trPr>
        <w:tc>
          <w:tcPr>
            <w:tcW w:w="739" w:type="dxa"/>
            <w:vMerge w:val="restart"/>
            <w:textDirection w:val="lrTb"/>
            <w:noWrap w:val="false"/>
          </w:tcPr>
          <w:p>
            <w:pPr>
              <w:ind w:left="360" w:firstLine="0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10640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keepNext/>
              <w:spacing w:before="6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  <w:t xml:space="preserve">Требования к кадровым ресурсам победителя: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Согласно требования п.92 Постановления Правительства  Российской Федерации от 24.12.2021 г.No2464 «О порядке  обучения по охране труда и проверки знаний требований охраны труда»: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keepNext/>
              <w:spacing w:before="6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иметь в наличие не менее 3 чело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век (руководитель, производитель работ и всех членов бригады) документы проверки знаний требований охраны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keepNext/>
              <w:spacing w:before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keepNext/>
              <w:spacing w:before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gridSpan w:val="2"/>
            <w:tcW w:w="4072" w:type="dxa"/>
            <w:vMerge w:val="restart"/>
            <w:textDirection w:val="lrTb"/>
            <w:noWrap w:val="false"/>
          </w:tcPr>
          <w:p>
            <w:pPr>
              <w:jc w:val="both"/>
              <w:keepNext/>
              <w:spacing w:before="6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  <w:t xml:space="preserve">Подтверждается: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</w:p>
          <w:p>
            <w:pPr>
              <w:jc w:val="both"/>
              <w:keepNext/>
              <w:spacing w:before="6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white"/>
                <w:u w:val="singl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1.Копиями документов проверки знаний требований охраны труда обученных лиц, не менее чем на 3 человек, (руководитель, производитель работ и всех членов бригады), которые будут непосредственно на объектах выпол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нять работы по Наряду-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у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</w:tbl>
    <w:p>
      <w:pPr>
        <w:tabs>
          <w:tab w:val="left" w:pos="3002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tabs>
          <w:tab w:val="left" w:pos="3002" w:leader="none"/>
        </w:tabs>
        <w:rPr>
          <w:rFonts w:ascii="Times New Roman" w:hAnsi="Times New Roman" w:cs="Times New Roman"/>
          <w:sz w:val="24"/>
          <w:szCs w:val="24"/>
        </w:rPr>
        <w:sectPr>
          <w:footnotePr/>
          <w:endnotePr/>
          <w:type w:val="nextPage"/>
          <w:pgSz w:w="16838" w:h="11906" w:orient="landscape"/>
          <w:pgMar w:top="992" w:right="1134" w:bottom="850" w:left="1134" w:header="709" w:footer="372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99"/>
        <w:contextualSpacing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3. Требования  к документации по ценообразованию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799"/>
        <w:contextualSpacing/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на этапе закупки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rPr>
          <w:sz w:val="6"/>
          <w:szCs w:val="6"/>
        </w:rPr>
      </w:pPr>
      <w:r>
        <w:rPr>
          <w:sz w:val="6"/>
          <w:szCs w:val="6"/>
        </w:rPr>
      </w:r>
      <w:r>
        <w:rPr>
          <w:sz w:val="6"/>
          <w:szCs w:val="6"/>
        </w:rPr>
      </w:r>
      <w:r>
        <w:rPr>
          <w:sz w:val="6"/>
          <w:szCs w:val="6"/>
        </w:rPr>
      </w:r>
    </w:p>
    <w:p>
      <w:pPr>
        <w:pStyle w:val="997"/>
        <w:ind w:firstLine="425"/>
        <w:jc w:val="both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  <w:highlight w:val="white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sz w:val="24"/>
          <w:szCs w:val="24"/>
        </w:rPr>
        <w:t xml:space="preserve">3.1. В обоснование стоимости своей заявки Участник предоставляет Коммерческое предложение по форме № 3 (с учетом прилагаемой к ней инструкции по заполнению), приведенной в Документации о закупке (с указанием понижающего коэффициента).</w:t>
      </w:r>
      <w:r>
        <w:rPr>
          <w:sz w:val="24"/>
          <w:szCs w:val="24"/>
        </w:rPr>
        <w:t xml:space="preserve"> </w:t>
      </w:r>
      <w:commentRangeStart w:id="0"/>
      <w:r>
        <w:rPr>
          <w:sz w:val="23"/>
          <w:szCs w:val="23"/>
          <w:highlight w:val="white"/>
        </w:rPr>
        <w:t xml:space="preserve">Размер данного коэффициента рекомендуется учитывать с округлением до 7 знаков после запятой</w:t>
      </w:r>
      <w:r>
        <w:rPr>
          <w:iCs/>
          <w:sz w:val="23"/>
          <w:szCs w:val="23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commentRangeEnd w:id="0"/>
      <w:r>
        <w:commentReference w:id="0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97"/>
        <w:ind w:firstLine="425"/>
        <w:jc w:val="both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sz w:val="24"/>
          <w:szCs w:val="24"/>
        </w:rPr>
        <w:t xml:space="preserve">3.2. Дополнительные до</w:t>
      </w:r>
      <w:r>
        <w:rPr>
          <w:sz w:val="24"/>
          <w:szCs w:val="24"/>
        </w:rPr>
        <w:t xml:space="preserve">кументы по ценообразованию (сметная документация) в состав заявки Участника не включаются.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7"/>
        <w:ind w:firstLine="425"/>
        <w:jc w:val="both"/>
        <w:tabs>
          <w:tab w:val="left" w:pos="0" w:leader="none"/>
          <w:tab w:val="left" w:pos="1134" w:leader="none"/>
        </w:tabs>
        <w:rPr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99"/>
        <w:contextualSpacing/>
        <w:ind w:left="357" w:hanging="357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4.</w:t>
      </w:r>
      <w:bookmarkStart w:id="8" w:name="_Toc54646412"/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Требования к документации по ценообразованию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pStyle w:val="799"/>
        <w:contextualSpacing/>
        <w:ind w:left="357" w:hanging="357"/>
        <w:jc w:val="center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на этапе заключения (исполнения) договора</w:t>
      </w:r>
      <w:bookmarkEnd w:id="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spacing w:after="0"/>
      </w:pPr>
      <w:r/>
      <w:r/>
    </w:p>
    <w:p>
      <w:pPr>
        <w:pStyle w:val="997"/>
        <w:ind w:firstLine="425"/>
        <w:jc w:val="both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sz w:val="24"/>
          <w:szCs w:val="24"/>
        </w:rPr>
        <w:t xml:space="preserve">4.1. Требования к составлению сметной документации (при заключении догов</w:t>
      </w:r>
      <w:r>
        <w:rPr>
          <w:sz w:val="24"/>
          <w:szCs w:val="24"/>
        </w:rPr>
        <w:t xml:space="preserve">ора):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7"/>
        <w:ind w:firstLine="425"/>
        <w:jc w:val="both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sz w:val="24"/>
          <w:szCs w:val="24"/>
        </w:rPr>
        <w:t xml:space="preserve">4.1.1. Сметная документация разработана Заказчиком в рамках определения</w:t>
      </w:r>
      <w:r>
        <w:rPr>
          <w:sz w:val="24"/>
          <w:szCs w:val="24"/>
        </w:rPr>
        <w:t xml:space="preserve"> начальной (максимальной) цены договора в соответствии с объёмами, указанными в приложен</w:t>
      </w:r>
      <w:r>
        <w:rPr>
          <w:sz w:val="24"/>
          <w:szCs w:val="24"/>
          <w:highlight w:val="white"/>
        </w:rPr>
        <w:t xml:space="preserve">ии</w:t>
      </w:r>
      <w:r>
        <w:rPr>
          <w:sz w:val="24"/>
          <w:szCs w:val="24"/>
          <w:highlight w:val="white"/>
        </w:rPr>
        <w:t xml:space="preserve"> № 1 к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настоящим Техническим требованиям и условиями проекта договора, являющегося приложением к документации закупки, и включаются в состав договора с применением</w:t>
      </w:r>
      <w:r>
        <w:rPr>
          <w:sz w:val="24"/>
          <w:szCs w:val="24"/>
        </w:rPr>
        <w:t xml:space="preserve">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</w:t>
      </w:r>
      <w:r>
        <w:rPr>
          <w:i/>
          <w:sz w:val="24"/>
          <w:szCs w:val="24"/>
        </w:rPr>
        <w:t xml:space="preserve">после начисления лимитированных затрат до начисления НДС в случае составления одной сметы</w:t>
      </w:r>
      <w:r>
        <w:rPr>
          <w:sz w:val="24"/>
          <w:szCs w:val="24"/>
        </w:rPr>
        <w:t xml:space="preserve">)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в сводном сметном расчете единым индексом в итогах (</w:t>
      </w:r>
      <w:r>
        <w:rPr>
          <w:i/>
          <w:sz w:val="24"/>
          <w:szCs w:val="24"/>
        </w:rPr>
        <w:t xml:space="preserve">после начисления лимитированных затрат до начисления НДС в случае наличия нескольких смет</w:t>
      </w:r>
      <w:r>
        <w:rPr>
          <w:sz w:val="24"/>
          <w:szCs w:val="24"/>
        </w:rPr>
        <w:t xml:space="preserve">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7"/>
        <w:ind w:firstLine="425"/>
        <w:jc w:val="both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sz w:val="24"/>
          <w:szCs w:val="24"/>
        </w:rPr>
        <w:t xml:space="preserve">4.1.2. Внесение и</w:t>
      </w:r>
      <w:r>
        <w:rPr>
          <w:sz w:val="24"/>
          <w:szCs w:val="24"/>
        </w:rPr>
        <w:t xml:space="preserve">зменений в сметную документацию заказчика, кроме применения </w:t>
      </w:r>
      <w:r>
        <w:rPr>
          <w:sz w:val="24"/>
          <w:szCs w:val="24"/>
        </w:rPr>
        <w:t xml:space="preserve">понижающего коэффициента в соответствии с п. 4.1.1,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7"/>
        <w:ind w:firstLine="425"/>
        <w:jc w:val="both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sz w:val="24"/>
          <w:szCs w:val="24"/>
        </w:rPr>
        <w:t xml:space="preserve">4.1.3. </w:t>
      </w:r>
      <w:r>
        <w:rPr>
          <w:sz w:val="24"/>
          <w:szCs w:val="24"/>
        </w:rPr>
        <w:t xml:space="preserve">Оплата непредвиденных работ и затрат осуществляется Заказчиком в следующем порядке: непредв</w:t>
      </w:r>
      <w:r>
        <w:rPr>
          <w:sz w:val="24"/>
          <w:szCs w:val="24"/>
        </w:rPr>
        <w:t xml:space="preserve">иденные работы и затраты оплачиваются за фактически выполненные работы. Объем работ, выполняемый Подрядчиком, должен быть предварительно согласован с Заказчиком и выполняться на основании утвержденной Заказчиком локальной сметы, в рамках Лимита на непредви</w:t>
      </w:r>
      <w:r>
        <w:rPr>
          <w:sz w:val="24"/>
          <w:szCs w:val="24"/>
        </w:rPr>
        <w:t xml:space="preserve">денные работы и затраты, предусмотренного утвержденным Локальным </w:t>
      </w:r>
      <w:r>
        <w:rPr>
          <w:bCs/>
          <w:sz w:val="24"/>
          <w:szCs w:val="24"/>
        </w:rPr>
        <w:t xml:space="preserve">сметным расчетом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white"/>
        </w:rPr>
        <w:t xml:space="preserve"> (Приложение № 2 к Договору)</w:t>
      </w:r>
      <w:r>
        <w:rPr>
          <w:sz w:val="24"/>
          <w:szCs w:val="24"/>
          <w:highlight w:val="white"/>
        </w:rPr>
        <w:t xml:space="preserve">. </w:t>
      </w:r>
      <w:r>
        <w:rPr>
          <w:sz w:val="24"/>
          <w:szCs w:val="24"/>
        </w:rPr>
        <w:t xml:space="preserve">Приемка выполненного объема работ производится одновременно с Работами по Договору при подписании Сторонами Акта КС-2 в соответств</w:t>
      </w:r>
      <w:r>
        <w:rPr>
          <w:sz w:val="24"/>
          <w:szCs w:val="24"/>
        </w:rPr>
        <w:t xml:space="preserve">ии с пунктом 4.1 Договора. Оплата в размере 100 % (ста процентов) от стоимости непредвиденных работ и затрат производится Заказчиком в течение </w:t>
      </w:r>
      <w:r>
        <w:rPr>
          <w:sz w:val="24"/>
          <w:szCs w:val="24"/>
        </w:rPr>
        <w:t xml:space="preserve">7 (семи) рабочих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дней с даты подписания Акта КС-2 и Справки КС-3 на основании счета, выставленного Подря</w:t>
      </w:r>
      <w:r>
        <w:rPr>
          <w:sz w:val="24"/>
          <w:szCs w:val="24"/>
        </w:rPr>
        <w:t xml:space="preserve">дчиком, и с учетом пункта 3.3.1 Договора. Стоимость непредвиденных работ и затрат включается в </w:t>
      </w:r>
      <w:r>
        <w:rPr>
          <w:bCs/>
          <w:sz w:val="24"/>
          <w:szCs w:val="24"/>
        </w:rPr>
        <w:t xml:space="preserve">общую сумму Акта КС-2, подписываемого Сторонами в соответствии с пунктом 4.1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7"/>
        <w:ind w:firstLine="425"/>
        <w:jc w:val="both"/>
        <w:spacing w:line="276" w:lineRule="auto"/>
        <w:tabs>
          <w:tab w:val="left" w:pos="0" w:leader="none"/>
          <w:tab w:val="left" w:pos="1134" w:leader="none"/>
        </w:tabs>
        <w:rPr>
          <w:sz w:val="24"/>
          <w:szCs w:val="24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bCs/>
          <w:sz w:val="24"/>
          <w:szCs w:val="24"/>
        </w:rPr>
      </w:r>
      <w:bookmarkStart w:id="9" w:name="_Toc54646413"/>
      <w:r>
        <w:rPr>
          <w:rFonts w:ascii="Times New Roman" w:hAnsi="Times New Roman" w:eastAsia="Times New Roman" w:cs="Times New Roman"/>
          <w:b/>
          <w:iCs/>
          <w:sz w:val="24"/>
          <w:szCs w:val="24"/>
        </w:rPr>
        <w:t xml:space="preserve">5. Список приложений</w:t>
      </w:r>
      <w:bookmarkEnd w:id="9"/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6"/>
        <w:numPr>
          <w:ilvl w:val="0"/>
          <w:numId w:val="40"/>
        </w:numPr>
        <w:ind w:left="283" w:right="0" w:hanging="283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z w:val="23"/>
          <w:szCs w:val="23"/>
        </w:rPr>
        <w:t xml:space="preserve">Приложение № 1 – Ведомость объёмов работ;</w:t>
      </w:r>
      <w:r>
        <w:rPr>
          <w:rFonts w:ascii="Times New Roman" w:hAnsi="Times New Roman" w:eastAsia="Times New Roman" w:cs="Times New Roman"/>
          <w:sz w:val="23"/>
          <w:szCs w:val="23"/>
        </w:rPr>
      </w:r>
      <w:r>
        <w:rPr>
          <w:rFonts w:ascii="Times New Roman" w:hAnsi="Times New Roman" w:eastAsia="Times New Roman" w:cs="Times New Roman"/>
          <w:sz w:val="23"/>
          <w:szCs w:val="23"/>
        </w:rPr>
      </w:r>
    </w:p>
    <w:p>
      <w:pPr>
        <w:pStyle w:val="996"/>
        <w:numPr>
          <w:ilvl w:val="0"/>
          <w:numId w:val="40"/>
        </w:numPr>
        <w:ind w:left="283" w:right="0" w:hanging="283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z w:val="23"/>
          <w:szCs w:val="23"/>
          <w:highlight w:val="none"/>
        </w:rPr>
        <w:t xml:space="preserve">Приложение №1.1 – Ведомость материалов подрядчика.</w:t>
      </w:r>
      <w:r>
        <w:rPr>
          <w:rFonts w:ascii="Times New Roman" w:hAnsi="Times New Roman" w:eastAsia="Times New Roman" w:cs="Times New Roman"/>
          <w:sz w:val="23"/>
          <w:szCs w:val="23"/>
        </w:rPr>
      </w:r>
      <w:r>
        <w:rPr>
          <w:rFonts w:ascii="Times New Roman" w:hAnsi="Times New Roman" w:eastAsia="Times New Roman" w:cs="Times New Roman"/>
          <w:sz w:val="23"/>
          <w:szCs w:val="23"/>
        </w:rPr>
      </w:r>
    </w:p>
    <w:p>
      <w:pPr>
        <w:pStyle w:val="996"/>
        <w:numPr>
          <w:ilvl w:val="0"/>
          <w:numId w:val="40"/>
        </w:numPr>
        <w:ind w:left="283" w:right="0" w:hanging="283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z w:val="23"/>
          <w:szCs w:val="23"/>
        </w:rPr>
      </w:r>
      <w:r>
        <w:rPr>
          <w:rFonts w:ascii="Times New Roman" w:hAnsi="Times New Roman" w:eastAsia="Times New Roman" w:cs="Times New Roman"/>
          <w:sz w:val="23"/>
          <w:szCs w:val="23"/>
        </w:rPr>
        <w:t xml:space="preserve">Приложение № 2 – Локальный</w:t>
      </w:r>
      <w:r>
        <w:rPr>
          <w:rFonts w:ascii="Times New Roman" w:hAnsi="Times New Roman" w:eastAsia="Times New Roman" w:cs="Times New Roman"/>
          <w:bCs/>
          <w:sz w:val="23"/>
          <w:szCs w:val="23"/>
        </w:rPr>
        <w:t xml:space="preserve"> сметный расчет</w:t>
      </w:r>
      <w:r>
        <w:rPr>
          <w:rFonts w:ascii="Times New Roman" w:hAnsi="Times New Roman" w:eastAsia="Times New Roman" w:cs="Times New Roman"/>
          <w:sz w:val="23"/>
          <w:szCs w:val="23"/>
        </w:rPr>
        <w:t xml:space="preserve">;</w:t>
      </w:r>
      <w:r>
        <w:rPr>
          <w:rFonts w:ascii="Times New Roman" w:hAnsi="Times New Roman" w:eastAsia="Times New Roman" w:cs="Times New Roman"/>
          <w:sz w:val="23"/>
          <w:szCs w:val="23"/>
        </w:rPr>
      </w:r>
      <w:r>
        <w:rPr>
          <w:rFonts w:ascii="Times New Roman" w:hAnsi="Times New Roman" w:eastAsia="Times New Roman" w:cs="Times New Roman"/>
          <w:sz w:val="23"/>
          <w:szCs w:val="23"/>
        </w:rPr>
      </w:r>
    </w:p>
    <w:p>
      <w:pPr>
        <w:pStyle w:val="996"/>
        <w:numPr>
          <w:ilvl w:val="0"/>
          <w:numId w:val="40"/>
        </w:numPr>
        <w:ind w:left="283" w:right="0" w:hanging="283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highlight w:val="none"/>
        </w:rPr>
        <w:t xml:space="preserve">Приложение №3 – </w:t>
      </w:r>
      <w:r>
        <w:rPr>
          <w:rFonts w:ascii="Times New Roman" w:hAnsi="Times New Roman" w:eastAsia="Times New Roman" w:cs="Times New Roman"/>
          <w:sz w:val="23"/>
          <w:szCs w:val="23"/>
        </w:rPr>
        <w:t xml:space="preserve">Локально-нормативные акты Заказчика; </w:t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pStyle w:val="996"/>
        <w:numPr>
          <w:ilvl w:val="0"/>
          <w:numId w:val="40"/>
        </w:numPr>
        <w:ind w:left="283" w:right="0" w:hanging="283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highlight w:val="none"/>
        </w:rPr>
        <w:t xml:space="preserve">Приложение №4- Требование к оформлению и составлении документации.</w:t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pStyle w:val="996"/>
        <w:numPr>
          <w:ilvl w:val="0"/>
          <w:numId w:val="40"/>
        </w:numPr>
        <w:ind w:left="283" w:right="0" w:hanging="283"/>
        <w:jc w:val="both"/>
        <w:spacing w:line="276" w:lineRule="auto"/>
        <w:shd w:val="clear" w:color="auto" w:fill="ffffff"/>
        <w:widowControl w:val="off"/>
        <w:tabs>
          <w:tab w:val="left" w:pos="0" w:leader="none"/>
        </w:tabs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highlight w:val="none"/>
        </w:rPr>
        <w:t xml:space="preserve">Приложение №5 – Форма (Общий журнал работ).</w:t>
      </w:r>
      <w:r>
        <w:rPr>
          <w:rFonts w:ascii="Times New Roman" w:hAnsi="Times New Roman" w:cs="Times New Roman"/>
          <w:sz w:val="23"/>
          <w:szCs w:val="23"/>
        </w:rPr>
      </w:r>
      <w:r>
        <w:rPr>
          <w:rFonts w:ascii="Times New Roman" w:hAnsi="Times New Roman" w:cs="Times New Roman"/>
          <w:sz w:val="23"/>
          <w:szCs w:val="23"/>
        </w:rPr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992" w:header="709" w:footer="709" w:gutter="0"/>
      <w:cols w:num="1" w:sep="0" w:space="708" w:equalWidth="1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lutfullina_ee" w:date="2026-02-05T09:14:12Z" w:initials="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добавить предложение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3A622B8" w16cex:dateUtc="2026-02-04T23:14:12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63A622B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Calibri">
    <w:panose1 w:val="020F0502020204030204"/>
  </w:font>
  <w:font w:name="Iosevka Term SS03">
    <w:panose1 w:val="020005090300000000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7"/>
      <w:jc w:val="right"/>
      <w:rPr>
        <w:b/>
        <w:bCs/>
      </w:rPr>
    </w:pPr>
    <w:r>
      <w:fldChar w:fldCharType="begin"/>
    </w:r>
    <w:r>
      <w:instrText xml:space="preserve">PAGE \* MERGEFORMAT</w:instrText>
    </w:r>
    <w:r>
      <w:fldChar w:fldCharType="separate"/>
    </w:r>
    <w:r>
      <w:rPr>
        <w:b/>
        <w:bCs/>
      </w:rPr>
      <w:t xml:space="preserve">3</w:t>
    </w:r>
    <w:r>
      <w:rPr>
        <w:b/>
        <w:bCs/>
      </w:rPr>
      <w:fldChar w:fldCharType="end"/>
    </w:r>
    <w:r>
      <w:rPr>
        <w:b/>
        <w:bCs/>
      </w:rPr>
    </w:r>
    <w:r>
      <w:rPr>
        <w:b/>
        <w:bCs/>
      </w:rPr>
    </w:r>
  </w:p>
  <w:p>
    <w:pPr>
      <w:pStyle w:val="84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5"/>
      <w:tabs>
        <w:tab w:val="left" w:pos="2123" w:leader="none"/>
        <w:tab w:val="clear" w:pos="7143" w:leader="none"/>
        <w:tab w:val="clear" w:pos="14287" w:leader="none"/>
      </w:tabs>
    </w:pPr>
    <w:r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bCs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i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7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9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1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3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5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7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9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1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36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7"/>
  </w:num>
  <w:num w:numId="2">
    <w:abstractNumId w:val="12"/>
  </w:num>
  <w:num w:numId="3">
    <w:abstractNumId w:val="18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21"/>
  </w:num>
  <w:num w:numId="9">
    <w:abstractNumId w:val="13"/>
  </w:num>
  <w:num w:numId="10">
    <w:abstractNumId w:val="0"/>
  </w:num>
  <w:num w:numId="11">
    <w:abstractNumId w:val="14"/>
  </w:num>
  <w:num w:numId="12">
    <w:abstractNumId w:val="23"/>
  </w:num>
  <w:num w:numId="13">
    <w:abstractNumId w:val="2"/>
  </w:num>
  <w:num w:numId="14">
    <w:abstractNumId w:val="10"/>
  </w:num>
  <w:num w:numId="15">
    <w:abstractNumId w:val="6"/>
  </w:num>
  <w:num w:numId="16">
    <w:abstractNumId w:val="20"/>
  </w:num>
  <w:num w:numId="17">
    <w:abstractNumId w:val="22"/>
  </w:num>
  <w:num w:numId="18">
    <w:abstractNumId w:val="8"/>
  </w:num>
  <w:num w:numId="19">
    <w:abstractNumId w:val="4"/>
  </w:num>
  <w:num w:numId="20">
    <w:abstractNumId w:val="16"/>
  </w:num>
  <w:num w:numId="21">
    <w:abstractNumId w:val="5"/>
  </w:num>
  <w:num w:numId="22">
    <w:abstractNumId w:val="15"/>
  </w:num>
  <w:num w:numId="23">
    <w:abstractNumId w:val="11"/>
  </w:num>
  <w:num w:numId="24">
    <w:abstractNumId w:val="19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tfullina_ee">
    <w15:presenceInfo w15:providerId="Teamlab" w15:userId="lutfullina_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98" w:default="1">
    <w:name w:val="Normal"/>
    <w:qFormat/>
  </w:style>
  <w:style w:type="paragraph" w:styleId="799">
    <w:name w:val="Heading 1"/>
    <w:basedOn w:val="798"/>
    <w:next w:val="798"/>
    <w:link w:val="828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800">
    <w:name w:val="Heading 2"/>
    <w:basedOn w:val="798"/>
    <w:next w:val="798"/>
    <w:link w:val="829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01">
    <w:name w:val="Heading 3"/>
    <w:basedOn w:val="798"/>
    <w:next w:val="798"/>
    <w:link w:val="830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802">
    <w:name w:val="Heading 4"/>
    <w:basedOn w:val="798"/>
    <w:next w:val="798"/>
    <w:link w:val="83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03">
    <w:name w:val="Heading 5"/>
    <w:basedOn w:val="798"/>
    <w:next w:val="798"/>
    <w:link w:val="83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04">
    <w:name w:val="Heading 6"/>
    <w:basedOn w:val="798"/>
    <w:next w:val="798"/>
    <w:link w:val="833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05">
    <w:name w:val="Heading 7"/>
    <w:basedOn w:val="798"/>
    <w:next w:val="798"/>
    <w:link w:val="83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06">
    <w:name w:val="Heading 8"/>
    <w:basedOn w:val="798"/>
    <w:next w:val="798"/>
    <w:link w:val="835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07">
    <w:name w:val="Heading 9"/>
    <w:basedOn w:val="798"/>
    <w:next w:val="798"/>
    <w:link w:val="836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8" w:default="1">
    <w:name w:val="Default Paragraph Font"/>
    <w:uiPriority w:val="1"/>
    <w:semiHidden/>
    <w:unhideWhenUsed/>
  </w:style>
  <w:style w:type="table" w:styleId="8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0" w:default="1">
    <w:name w:val="No List"/>
    <w:uiPriority w:val="99"/>
    <w:semiHidden/>
    <w:unhideWhenUsed/>
  </w:style>
  <w:style w:type="character" w:styleId="811" w:customStyle="1">
    <w:name w:val="Heading 1 Char"/>
    <w:basedOn w:val="808"/>
    <w:uiPriority w:val="9"/>
    <w:rPr>
      <w:rFonts w:ascii="Arial" w:hAnsi="Arial" w:eastAsia="Arial" w:cs="Arial"/>
      <w:sz w:val="40"/>
      <w:szCs w:val="40"/>
    </w:rPr>
  </w:style>
  <w:style w:type="character" w:styleId="812" w:customStyle="1">
    <w:name w:val="Heading 2 Char"/>
    <w:basedOn w:val="808"/>
    <w:uiPriority w:val="9"/>
    <w:rPr>
      <w:rFonts w:ascii="Arial" w:hAnsi="Arial" w:eastAsia="Arial" w:cs="Arial"/>
      <w:sz w:val="34"/>
    </w:rPr>
  </w:style>
  <w:style w:type="character" w:styleId="813" w:customStyle="1">
    <w:name w:val="Heading 3 Char"/>
    <w:basedOn w:val="808"/>
    <w:uiPriority w:val="9"/>
    <w:rPr>
      <w:rFonts w:ascii="Arial" w:hAnsi="Arial" w:eastAsia="Arial" w:cs="Arial"/>
      <w:sz w:val="30"/>
      <w:szCs w:val="30"/>
    </w:rPr>
  </w:style>
  <w:style w:type="character" w:styleId="814" w:customStyle="1">
    <w:name w:val="Heading 4 Char"/>
    <w:basedOn w:val="808"/>
    <w:uiPriority w:val="9"/>
    <w:rPr>
      <w:rFonts w:ascii="Arial" w:hAnsi="Arial" w:eastAsia="Arial" w:cs="Arial"/>
      <w:b/>
      <w:bCs/>
      <w:sz w:val="26"/>
      <w:szCs w:val="26"/>
    </w:rPr>
  </w:style>
  <w:style w:type="character" w:styleId="815" w:customStyle="1">
    <w:name w:val="Heading 5 Char"/>
    <w:basedOn w:val="808"/>
    <w:uiPriority w:val="9"/>
    <w:rPr>
      <w:rFonts w:ascii="Arial" w:hAnsi="Arial" w:eastAsia="Arial" w:cs="Arial"/>
      <w:b/>
      <w:bCs/>
      <w:sz w:val="24"/>
      <w:szCs w:val="24"/>
    </w:rPr>
  </w:style>
  <w:style w:type="character" w:styleId="816" w:customStyle="1">
    <w:name w:val="Heading 6 Char"/>
    <w:basedOn w:val="808"/>
    <w:uiPriority w:val="9"/>
    <w:rPr>
      <w:rFonts w:ascii="Arial" w:hAnsi="Arial" w:eastAsia="Arial" w:cs="Arial"/>
      <w:b/>
      <w:bCs/>
      <w:sz w:val="22"/>
      <w:szCs w:val="22"/>
    </w:rPr>
  </w:style>
  <w:style w:type="character" w:styleId="817" w:customStyle="1">
    <w:name w:val="Heading 7 Char"/>
    <w:basedOn w:val="80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8" w:customStyle="1">
    <w:name w:val="Heading 8 Char"/>
    <w:basedOn w:val="808"/>
    <w:uiPriority w:val="9"/>
    <w:rPr>
      <w:rFonts w:ascii="Arial" w:hAnsi="Arial" w:eastAsia="Arial" w:cs="Arial"/>
      <w:i/>
      <w:iCs/>
      <w:sz w:val="22"/>
      <w:szCs w:val="22"/>
    </w:rPr>
  </w:style>
  <w:style w:type="character" w:styleId="819" w:customStyle="1">
    <w:name w:val="Heading 9 Char"/>
    <w:basedOn w:val="808"/>
    <w:uiPriority w:val="9"/>
    <w:rPr>
      <w:rFonts w:ascii="Arial" w:hAnsi="Arial" w:eastAsia="Arial" w:cs="Arial"/>
      <w:i/>
      <w:iCs/>
      <w:sz w:val="21"/>
      <w:szCs w:val="21"/>
    </w:rPr>
  </w:style>
  <w:style w:type="character" w:styleId="820" w:customStyle="1">
    <w:name w:val="Title Char"/>
    <w:basedOn w:val="808"/>
    <w:uiPriority w:val="10"/>
    <w:rPr>
      <w:sz w:val="48"/>
      <w:szCs w:val="48"/>
    </w:rPr>
  </w:style>
  <w:style w:type="character" w:styleId="821" w:customStyle="1">
    <w:name w:val="Subtitle Char"/>
    <w:basedOn w:val="808"/>
    <w:uiPriority w:val="11"/>
    <w:rPr>
      <w:sz w:val="24"/>
      <w:szCs w:val="24"/>
    </w:rPr>
  </w:style>
  <w:style w:type="character" w:styleId="822" w:customStyle="1">
    <w:name w:val="Quote Char"/>
    <w:uiPriority w:val="29"/>
    <w:rPr>
      <w:i/>
    </w:rPr>
  </w:style>
  <w:style w:type="character" w:styleId="823" w:customStyle="1">
    <w:name w:val="Intense Quote Char"/>
    <w:uiPriority w:val="30"/>
    <w:rPr>
      <w:i/>
    </w:rPr>
  </w:style>
  <w:style w:type="character" w:styleId="824" w:customStyle="1">
    <w:name w:val="Header Char"/>
    <w:basedOn w:val="808"/>
    <w:uiPriority w:val="99"/>
  </w:style>
  <w:style w:type="character" w:styleId="825" w:customStyle="1">
    <w:name w:val="Caption Char"/>
    <w:uiPriority w:val="99"/>
  </w:style>
  <w:style w:type="character" w:styleId="826" w:customStyle="1">
    <w:name w:val="Footnote Text Char"/>
    <w:uiPriority w:val="99"/>
    <w:rPr>
      <w:sz w:val="18"/>
    </w:rPr>
  </w:style>
  <w:style w:type="character" w:styleId="827" w:customStyle="1">
    <w:name w:val="Endnote Text Char"/>
    <w:uiPriority w:val="99"/>
    <w:rPr>
      <w:sz w:val="20"/>
    </w:rPr>
  </w:style>
  <w:style w:type="character" w:styleId="828" w:customStyle="1">
    <w:name w:val="Заголовок 1 Знак"/>
    <w:link w:val="799"/>
    <w:uiPriority w:val="9"/>
    <w:rPr>
      <w:rFonts w:ascii="Arial" w:hAnsi="Arial" w:eastAsia="Arial" w:cs="Arial"/>
      <w:sz w:val="40"/>
      <w:szCs w:val="40"/>
    </w:rPr>
  </w:style>
  <w:style w:type="character" w:styleId="829" w:customStyle="1">
    <w:name w:val="Заголовок 2 Знак"/>
    <w:link w:val="800"/>
    <w:uiPriority w:val="9"/>
    <w:rPr>
      <w:rFonts w:ascii="Arial" w:hAnsi="Arial" w:eastAsia="Arial" w:cs="Arial"/>
      <w:sz w:val="34"/>
    </w:rPr>
  </w:style>
  <w:style w:type="character" w:styleId="830" w:customStyle="1">
    <w:name w:val="Заголовок 3 Знак"/>
    <w:link w:val="801"/>
    <w:uiPriority w:val="9"/>
    <w:rPr>
      <w:rFonts w:ascii="Arial" w:hAnsi="Arial" w:eastAsia="Arial" w:cs="Arial"/>
      <w:sz w:val="30"/>
      <w:szCs w:val="30"/>
    </w:rPr>
  </w:style>
  <w:style w:type="character" w:styleId="831" w:customStyle="1">
    <w:name w:val="Заголовок 4 Знак"/>
    <w:link w:val="802"/>
    <w:uiPriority w:val="9"/>
    <w:rPr>
      <w:rFonts w:ascii="Arial" w:hAnsi="Arial" w:eastAsia="Arial" w:cs="Arial"/>
      <w:b/>
      <w:bCs/>
      <w:sz w:val="26"/>
      <w:szCs w:val="26"/>
    </w:rPr>
  </w:style>
  <w:style w:type="character" w:styleId="832" w:customStyle="1">
    <w:name w:val="Заголовок 5 Знак"/>
    <w:link w:val="803"/>
    <w:uiPriority w:val="9"/>
    <w:rPr>
      <w:rFonts w:ascii="Arial" w:hAnsi="Arial" w:eastAsia="Arial" w:cs="Arial"/>
      <w:b/>
      <w:bCs/>
      <w:sz w:val="24"/>
      <w:szCs w:val="24"/>
    </w:rPr>
  </w:style>
  <w:style w:type="character" w:styleId="833" w:customStyle="1">
    <w:name w:val="Заголовок 6 Знак"/>
    <w:link w:val="804"/>
    <w:uiPriority w:val="9"/>
    <w:rPr>
      <w:rFonts w:ascii="Arial" w:hAnsi="Arial" w:eastAsia="Arial" w:cs="Arial"/>
      <w:b/>
      <w:bCs/>
      <w:sz w:val="22"/>
      <w:szCs w:val="22"/>
    </w:rPr>
  </w:style>
  <w:style w:type="character" w:styleId="834" w:customStyle="1">
    <w:name w:val="Заголовок 7 Знак"/>
    <w:link w:val="8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5" w:customStyle="1">
    <w:name w:val="Заголовок 8 Знак"/>
    <w:link w:val="806"/>
    <w:uiPriority w:val="9"/>
    <w:rPr>
      <w:rFonts w:ascii="Arial" w:hAnsi="Arial" w:eastAsia="Arial" w:cs="Arial"/>
      <w:i/>
      <w:iCs/>
      <w:sz w:val="22"/>
      <w:szCs w:val="22"/>
    </w:rPr>
  </w:style>
  <w:style w:type="character" w:styleId="836" w:customStyle="1">
    <w:name w:val="Заголовок 9 Знак"/>
    <w:link w:val="807"/>
    <w:uiPriority w:val="9"/>
    <w:rPr>
      <w:rFonts w:ascii="Arial" w:hAnsi="Arial" w:eastAsia="Arial" w:cs="Arial"/>
      <w:i/>
      <w:iCs/>
      <w:sz w:val="21"/>
      <w:szCs w:val="21"/>
    </w:rPr>
  </w:style>
  <w:style w:type="paragraph" w:styleId="837">
    <w:name w:val="Title"/>
    <w:basedOn w:val="798"/>
    <w:next w:val="798"/>
    <w:link w:val="838"/>
    <w:uiPriority w:val="10"/>
    <w:qFormat/>
    <w:pPr>
      <w:contextualSpacing/>
      <w:spacing w:before="300"/>
    </w:pPr>
    <w:rPr>
      <w:sz w:val="48"/>
      <w:szCs w:val="48"/>
    </w:rPr>
  </w:style>
  <w:style w:type="character" w:styleId="838" w:customStyle="1">
    <w:name w:val="Заголовок Знак"/>
    <w:link w:val="837"/>
    <w:uiPriority w:val="10"/>
    <w:rPr>
      <w:sz w:val="48"/>
      <w:szCs w:val="48"/>
    </w:rPr>
  </w:style>
  <w:style w:type="paragraph" w:styleId="839">
    <w:name w:val="Subtitle"/>
    <w:basedOn w:val="798"/>
    <w:next w:val="798"/>
    <w:link w:val="840"/>
    <w:uiPriority w:val="11"/>
    <w:qFormat/>
    <w:pPr>
      <w:spacing w:before="200"/>
    </w:pPr>
    <w:rPr>
      <w:sz w:val="24"/>
      <w:szCs w:val="24"/>
    </w:rPr>
  </w:style>
  <w:style w:type="character" w:styleId="840" w:customStyle="1">
    <w:name w:val="Подзаголовок Знак"/>
    <w:link w:val="839"/>
    <w:uiPriority w:val="11"/>
    <w:rPr>
      <w:sz w:val="24"/>
      <w:szCs w:val="24"/>
    </w:rPr>
  </w:style>
  <w:style w:type="paragraph" w:styleId="841">
    <w:name w:val="Quote"/>
    <w:basedOn w:val="798"/>
    <w:next w:val="798"/>
    <w:link w:val="842"/>
    <w:uiPriority w:val="29"/>
    <w:qFormat/>
    <w:pPr>
      <w:ind w:left="720" w:right="720"/>
    </w:pPr>
    <w:rPr>
      <w:i/>
    </w:rPr>
  </w:style>
  <w:style w:type="character" w:styleId="842" w:customStyle="1">
    <w:name w:val="Цитата 2 Знак"/>
    <w:link w:val="841"/>
    <w:uiPriority w:val="29"/>
    <w:rPr>
      <w:i/>
    </w:rPr>
  </w:style>
  <w:style w:type="paragraph" w:styleId="843">
    <w:name w:val="Intense Quote"/>
    <w:basedOn w:val="798"/>
    <w:next w:val="798"/>
    <w:link w:val="84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4" w:customStyle="1">
    <w:name w:val="Выделенная цитата Знак"/>
    <w:link w:val="843"/>
    <w:uiPriority w:val="30"/>
    <w:rPr>
      <w:i/>
    </w:rPr>
  </w:style>
  <w:style w:type="paragraph" w:styleId="845">
    <w:name w:val="Header"/>
    <w:basedOn w:val="798"/>
    <w:link w:val="8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46" w:customStyle="1">
    <w:name w:val="Верхний колонтитул Знак"/>
    <w:link w:val="845"/>
    <w:uiPriority w:val="99"/>
  </w:style>
  <w:style w:type="paragraph" w:styleId="847">
    <w:name w:val="Footer"/>
    <w:basedOn w:val="798"/>
    <w:link w:val="85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48" w:customStyle="1">
    <w:name w:val="Footer Char"/>
    <w:uiPriority w:val="99"/>
  </w:style>
  <w:style w:type="paragraph" w:styleId="849">
    <w:name w:val="Caption"/>
    <w:basedOn w:val="798"/>
    <w:next w:val="798"/>
    <w:link w:val="825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850" w:customStyle="1">
    <w:name w:val="Нижний колонтитул Знак"/>
    <w:link w:val="847"/>
    <w:uiPriority w:val="99"/>
  </w:style>
  <w:style w:type="table" w:styleId="851">
    <w:name w:val="Table Grid"/>
    <w:basedOn w:val="80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52" w:customStyle="1">
    <w:name w:val="Table Grid Light"/>
    <w:basedOn w:val="80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53">
    <w:name w:val="Plain Table 1"/>
    <w:basedOn w:val="80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4">
    <w:name w:val="Plain Table 2"/>
    <w:basedOn w:val="80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5">
    <w:name w:val="Plain Table 3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6">
    <w:name w:val="Plain Table 4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Plain Table 5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8">
    <w:name w:val="Grid Table 1 Light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Grid Table 1 Light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Grid Table 1 Light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Grid Table 1 Light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Grid Table 1 Light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Grid Table 1 Light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Grid Table 1 Light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2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2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2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2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2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2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3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3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3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3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Grid Table 3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3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4"/>
    <w:basedOn w:val="8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0" w:customStyle="1">
    <w:name w:val="Grid Table 4 - Accent 1"/>
    <w:basedOn w:val="8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81" w:customStyle="1">
    <w:name w:val="Grid Table 4 - Accent 2"/>
    <w:basedOn w:val="8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82" w:customStyle="1">
    <w:name w:val="Grid Table 4 - Accent 3"/>
    <w:basedOn w:val="8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83" w:customStyle="1">
    <w:name w:val="Grid Table 4 - Accent 4"/>
    <w:basedOn w:val="8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84" w:customStyle="1">
    <w:name w:val="Grid Table 4 - Accent 5"/>
    <w:basedOn w:val="8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85" w:customStyle="1">
    <w:name w:val="Grid Table 4 - Accent 6"/>
    <w:basedOn w:val="8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86">
    <w:name w:val="Grid Table 5 Dark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87" w:customStyle="1">
    <w:name w:val="Grid Table 5 Dark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88" w:customStyle="1">
    <w:name w:val="Grid Table 5 Dark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89" w:customStyle="1">
    <w:name w:val="Grid Table 5 Dark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90" w:customStyle="1">
    <w:name w:val="Grid Table 5 Dark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91" w:customStyle="1">
    <w:name w:val="Grid Table 5 Dark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92" w:customStyle="1">
    <w:name w:val="Grid Table 5 Dark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93">
    <w:name w:val="Grid Table 6 Colorful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94" w:customStyle="1">
    <w:name w:val="Grid Table 6 Colorful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95" w:customStyle="1">
    <w:name w:val="Grid Table 6 Colorful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96" w:customStyle="1">
    <w:name w:val="Grid Table 6 Colorful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97" w:customStyle="1">
    <w:name w:val="Grid Table 6 Colorful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98" w:customStyle="1">
    <w:name w:val="Grid Table 6 Colorful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99" w:customStyle="1">
    <w:name w:val="Grid Table 6 Colorful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00">
    <w:name w:val="Grid Table 7 Colorful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7 Colorful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7 Colorful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7 Colorful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7 Colorful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7 Colorful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7 Colorful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1 Light - Accent 1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1 Light - Accent 2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st Table 1 Light - Accent 3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st Table 1 Light - Accent 4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1 Light - Accent 5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1 Light - Accent 6"/>
    <w:basedOn w:val="8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15" w:customStyle="1">
    <w:name w:val="List Table 2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16" w:customStyle="1">
    <w:name w:val="List Table 2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17" w:customStyle="1">
    <w:name w:val="List Table 2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18" w:customStyle="1">
    <w:name w:val="List Table 2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19" w:customStyle="1">
    <w:name w:val="List Table 2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20" w:customStyle="1">
    <w:name w:val="List Table 2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21">
    <w:name w:val="List Table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3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3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3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3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List Table 3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List Table 3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4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List Table 4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4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4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 w:customStyle="1">
    <w:name w:val="List Table 4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4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5 Dark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6" w:customStyle="1">
    <w:name w:val="List Table 5 Dark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7" w:customStyle="1">
    <w:name w:val="List Table 5 Dark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8" w:customStyle="1">
    <w:name w:val="List Table 5 Dark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9" w:customStyle="1">
    <w:name w:val="List Table 5 Dark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0" w:customStyle="1">
    <w:name w:val="List Table 5 Dark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1" w:customStyle="1">
    <w:name w:val="List Table 5 Dark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2">
    <w:name w:val="List Table 6 Colorful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43" w:customStyle="1">
    <w:name w:val="List Table 6 Colorful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44" w:customStyle="1">
    <w:name w:val="List Table 6 Colorful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45" w:customStyle="1">
    <w:name w:val="List Table 6 Colorful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46" w:customStyle="1">
    <w:name w:val="List Table 6 Colorful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47" w:customStyle="1">
    <w:name w:val="List Table 6 Colorful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48" w:customStyle="1">
    <w:name w:val="List Table 6 Colorful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49">
    <w:name w:val="List Table 7 Colorful"/>
    <w:basedOn w:val="8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 w:customStyle="1">
    <w:name w:val="List Table 7 Colorful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 w:customStyle="1">
    <w:name w:val="List Table 7 Colorful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 w:customStyle="1">
    <w:name w:val="List Table 7 Colorful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 w:customStyle="1">
    <w:name w:val="List Table 7 Colorful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 w:customStyle="1">
    <w:name w:val="List Table 7 Colorful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 w:customStyle="1">
    <w:name w:val="List Table 7 Colorful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 w:customStyle="1">
    <w:name w:val="Lined - Accent"/>
    <w:basedOn w:val="8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7" w:customStyle="1">
    <w:name w:val="Lined - Accent 1"/>
    <w:basedOn w:val="8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58" w:customStyle="1">
    <w:name w:val="Lined - Accent 2"/>
    <w:basedOn w:val="8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59" w:customStyle="1">
    <w:name w:val="Lined - Accent 3"/>
    <w:basedOn w:val="8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60" w:customStyle="1">
    <w:name w:val="Lined - Accent 4"/>
    <w:basedOn w:val="8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61" w:customStyle="1">
    <w:name w:val="Lined - Accent 5"/>
    <w:basedOn w:val="8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62" w:customStyle="1">
    <w:name w:val="Lined - Accent 6"/>
    <w:basedOn w:val="8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63" w:customStyle="1">
    <w:name w:val="Bordered &amp; Lined - Accent"/>
    <w:basedOn w:val="8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4" w:customStyle="1">
    <w:name w:val="Bordered &amp; Lined - Accent 1"/>
    <w:basedOn w:val="8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65" w:customStyle="1">
    <w:name w:val="Bordered &amp; Lined - Accent 2"/>
    <w:basedOn w:val="8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66" w:customStyle="1">
    <w:name w:val="Bordered &amp; Lined - Accent 3"/>
    <w:basedOn w:val="8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67" w:customStyle="1">
    <w:name w:val="Bordered &amp; Lined - Accent 4"/>
    <w:basedOn w:val="8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68" w:customStyle="1">
    <w:name w:val="Bordered &amp; Lined - Accent 5"/>
    <w:basedOn w:val="8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69" w:customStyle="1">
    <w:name w:val="Bordered &amp; Lined - Accent 6"/>
    <w:basedOn w:val="8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70" w:customStyle="1">
    <w:name w:val="Bordered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71" w:customStyle="1">
    <w:name w:val="Bordered - Accent 1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72" w:customStyle="1">
    <w:name w:val="Bordered - Accent 2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73" w:customStyle="1">
    <w:name w:val="Bordered - Accent 3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74" w:customStyle="1">
    <w:name w:val="Bordered - Accent 4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75" w:customStyle="1">
    <w:name w:val="Bordered - Accent 5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76" w:customStyle="1">
    <w:name w:val="Bordered - Accent 6"/>
    <w:basedOn w:val="8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77">
    <w:name w:val="Hyperlink"/>
    <w:uiPriority w:val="99"/>
    <w:unhideWhenUsed/>
    <w:rPr>
      <w:color w:val="0563c1" w:themeColor="hyperlink"/>
      <w:u w:val="single"/>
    </w:rPr>
  </w:style>
  <w:style w:type="paragraph" w:styleId="978">
    <w:name w:val="footnote text"/>
    <w:basedOn w:val="798"/>
    <w:link w:val="979"/>
    <w:uiPriority w:val="99"/>
    <w:semiHidden/>
    <w:unhideWhenUsed/>
    <w:pPr>
      <w:spacing w:after="40" w:line="240" w:lineRule="auto"/>
    </w:pPr>
    <w:rPr>
      <w:sz w:val="18"/>
    </w:rPr>
  </w:style>
  <w:style w:type="character" w:styleId="979" w:customStyle="1">
    <w:name w:val="Текст сноски Знак"/>
    <w:link w:val="978"/>
    <w:uiPriority w:val="99"/>
    <w:rPr>
      <w:sz w:val="18"/>
    </w:rPr>
  </w:style>
  <w:style w:type="character" w:styleId="980">
    <w:name w:val="footnote reference"/>
    <w:uiPriority w:val="99"/>
    <w:unhideWhenUsed/>
    <w:rPr>
      <w:vertAlign w:val="superscript"/>
    </w:rPr>
  </w:style>
  <w:style w:type="paragraph" w:styleId="981">
    <w:name w:val="endnote text"/>
    <w:basedOn w:val="798"/>
    <w:link w:val="982"/>
    <w:uiPriority w:val="99"/>
    <w:semiHidden/>
    <w:unhideWhenUsed/>
    <w:pPr>
      <w:spacing w:after="0" w:line="240" w:lineRule="auto"/>
    </w:pPr>
    <w:rPr>
      <w:sz w:val="20"/>
    </w:rPr>
  </w:style>
  <w:style w:type="character" w:styleId="982" w:customStyle="1">
    <w:name w:val="Текст концевой сноски Знак"/>
    <w:link w:val="981"/>
    <w:uiPriority w:val="99"/>
    <w:rPr>
      <w:sz w:val="20"/>
    </w:rPr>
  </w:style>
  <w:style w:type="character" w:styleId="983">
    <w:name w:val="endnote reference"/>
    <w:uiPriority w:val="99"/>
    <w:semiHidden/>
    <w:unhideWhenUsed/>
    <w:rPr>
      <w:vertAlign w:val="superscript"/>
    </w:rPr>
  </w:style>
  <w:style w:type="paragraph" w:styleId="984">
    <w:name w:val="toc 1"/>
    <w:basedOn w:val="798"/>
    <w:next w:val="798"/>
    <w:uiPriority w:val="39"/>
    <w:unhideWhenUsed/>
    <w:pPr>
      <w:spacing w:after="57"/>
    </w:pPr>
  </w:style>
  <w:style w:type="paragraph" w:styleId="985">
    <w:name w:val="toc 2"/>
    <w:basedOn w:val="798"/>
    <w:next w:val="798"/>
    <w:uiPriority w:val="39"/>
    <w:unhideWhenUsed/>
    <w:pPr>
      <w:ind w:left="283"/>
      <w:spacing w:after="57"/>
    </w:pPr>
  </w:style>
  <w:style w:type="paragraph" w:styleId="986">
    <w:name w:val="toc 3"/>
    <w:basedOn w:val="798"/>
    <w:next w:val="798"/>
    <w:uiPriority w:val="39"/>
    <w:unhideWhenUsed/>
    <w:pPr>
      <w:ind w:left="567"/>
      <w:spacing w:after="57"/>
    </w:pPr>
  </w:style>
  <w:style w:type="paragraph" w:styleId="987">
    <w:name w:val="toc 4"/>
    <w:basedOn w:val="798"/>
    <w:next w:val="798"/>
    <w:uiPriority w:val="39"/>
    <w:unhideWhenUsed/>
    <w:pPr>
      <w:ind w:left="850"/>
      <w:spacing w:after="57"/>
    </w:pPr>
  </w:style>
  <w:style w:type="paragraph" w:styleId="988">
    <w:name w:val="toc 5"/>
    <w:basedOn w:val="798"/>
    <w:next w:val="798"/>
    <w:uiPriority w:val="39"/>
    <w:unhideWhenUsed/>
    <w:pPr>
      <w:ind w:left="1134"/>
      <w:spacing w:after="57"/>
    </w:pPr>
  </w:style>
  <w:style w:type="paragraph" w:styleId="989">
    <w:name w:val="toc 6"/>
    <w:basedOn w:val="798"/>
    <w:next w:val="798"/>
    <w:uiPriority w:val="39"/>
    <w:unhideWhenUsed/>
    <w:pPr>
      <w:ind w:left="1417"/>
      <w:spacing w:after="57"/>
    </w:pPr>
  </w:style>
  <w:style w:type="paragraph" w:styleId="990">
    <w:name w:val="toc 7"/>
    <w:basedOn w:val="798"/>
    <w:next w:val="798"/>
    <w:uiPriority w:val="39"/>
    <w:unhideWhenUsed/>
    <w:pPr>
      <w:ind w:left="1701"/>
      <w:spacing w:after="57"/>
    </w:pPr>
  </w:style>
  <w:style w:type="paragraph" w:styleId="991">
    <w:name w:val="toc 8"/>
    <w:basedOn w:val="798"/>
    <w:next w:val="798"/>
    <w:uiPriority w:val="39"/>
    <w:unhideWhenUsed/>
    <w:pPr>
      <w:ind w:left="1984"/>
      <w:spacing w:after="57"/>
    </w:pPr>
  </w:style>
  <w:style w:type="paragraph" w:styleId="992">
    <w:name w:val="toc 9"/>
    <w:basedOn w:val="798"/>
    <w:next w:val="798"/>
    <w:uiPriority w:val="39"/>
    <w:unhideWhenUsed/>
    <w:pPr>
      <w:ind w:left="2268"/>
      <w:spacing w:after="57"/>
    </w:pPr>
  </w:style>
  <w:style w:type="paragraph" w:styleId="993">
    <w:name w:val="TOC Heading"/>
    <w:uiPriority w:val="39"/>
    <w:unhideWhenUsed/>
  </w:style>
  <w:style w:type="paragraph" w:styleId="994">
    <w:name w:val="table of figures"/>
    <w:basedOn w:val="798"/>
    <w:next w:val="798"/>
    <w:uiPriority w:val="99"/>
    <w:unhideWhenUsed/>
    <w:pPr>
      <w:spacing w:after="0"/>
    </w:pPr>
  </w:style>
  <w:style w:type="paragraph" w:styleId="995">
    <w:name w:val="No Spacing"/>
    <w:basedOn w:val="798"/>
    <w:uiPriority w:val="1"/>
    <w:qFormat/>
    <w:pPr>
      <w:spacing w:after="0" w:line="240" w:lineRule="auto"/>
    </w:pPr>
  </w:style>
  <w:style w:type="paragraph" w:styleId="996">
    <w:name w:val="List Paragraph"/>
    <w:basedOn w:val="798"/>
    <w:uiPriority w:val="34"/>
    <w:qFormat/>
    <w:pPr>
      <w:contextualSpacing/>
      <w:ind w:left="720"/>
    </w:pPr>
  </w:style>
  <w:style w:type="paragraph" w:styleId="997">
    <w:name w:val="annotation text"/>
    <w:link w:val="1000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8" w:customStyle="1">
    <w:name w:val="Таблица"/>
    <w:qFormat/>
    <w:pPr>
      <w:jc w:val="center"/>
      <w:keepNext/>
      <w:spacing w:before="60" w:after="6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999" w:customStyle="1">
    <w:name w:val="комментарий"/>
    <w:rPr>
      <w:b/>
      <w:i/>
      <w:shd w:val="clear" w:color="auto" w:fill="ffff99"/>
    </w:rPr>
  </w:style>
  <w:style w:type="character" w:styleId="1000" w:customStyle="1">
    <w:name w:val="Текст примечания Знак"/>
    <w:link w:val="997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1" w:customStyle="1">
    <w:name w:val="Таблица шапка"/>
    <w:pPr>
      <w:ind w:left="57" w:right="57"/>
      <w:keepNext/>
      <w:spacing w:before="40" w:after="4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szCs w:val="26"/>
      <w:lang w:eastAsia="ru-RU"/>
    </w:rPr>
  </w:style>
  <w:style w:type="character" w:styleId="1002">
    <w:name w:val="annotation reference"/>
    <w:basedOn w:val="808"/>
    <w:uiPriority w:val="99"/>
    <w:semiHidden/>
    <w:unhideWhenUsed/>
    <w:rPr>
      <w:sz w:val="16"/>
      <w:szCs w:val="16"/>
    </w:rPr>
  </w:style>
  <w:style w:type="paragraph" w:styleId="1003">
    <w:name w:val="annotation subject"/>
    <w:basedOn w:val="997"/>
    <w:next w:val="997"/>
    <w:link w:val="1004"/>
    <w:uiPriority w:val="99"/>
    <w:semiHidden/>
    <w:unhideWhenUsed/>
    <w:pPr>
      <w:spacing w:after="20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Pr>
      <w:rFonts w:asciiTheme="minorHAnsi" w:hAnsiTheme="minorHAnsi" w:eastAsiaTheme="minorHAnsi" w:cstheme="minorBidi"/>
      <w:b/>
      <w:bCs/>
      <w:lang w:eastAsia="en-US"/>
    </w:rPr>
  </w:style>
  <w:style w:type="character" w:styleId="1004" w:customStyle="1">
    <w:name w:val="Тема примечания Знак"/>
    <w:basedOn w:val="1000"/>
    <w:link w:val="1003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05">
    <w:name w:val="Balloon Text"/>
    <w:basedOn w:val="798"/>
    <w:link w:val="100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1006" w:customStyle="1">
    <w:name w:val="Текст выноски Знак"/>
    <w:basedOn w:val="808"/>
    <w:link w:val="1005"/>
    <w:uiPriority w:val="99"/>
    <w:semiHidden/>
    <w:rPr>
      <w:rFonts w:ascii="Segoe UI" w:hAnsi="Segoe UI" w:cs="Segoe UI"/>
      <w:sz w:val="18"/>
      <w:szCs w:val="18"/>
    </w:rPr>
  </w:style>
  <w:style w:type="paragraph" w:styleId="1007" w:customStyle="1">
    <w:name w:val="Текст примечания1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omments" Target="comments.xml" /><Relationship Id="rId12" Type="http://schemas.microsoft.com/office/2011/relationships/commentsExtended" Target="commentsExtended.xml" /><Relationship Id="rId13" Type="http://schemas.microsoft.com/office/2018/08/relationships/commentsExtensible" Target="commentsExtensible.xml" /><Relationship Id="rId14" Type="http://schemas.microsoft.com/office/2016/09/relationships/commentsIds" Target="commentsIds.xml" /><Relationship Id="rId15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Лумпова Ирина Гавриловна</dc:creator>
  <cp:lastModifiedBy>lutfullina_ee</cp:lastModifiedBy>
  <cp:revision>36</cp:revision>
  <dcterms:created xsi:type="dcterms:W3CDTF">2024-04-22T05:59:00Z</dcterms:created>
  <dcterms:modified xsi:type="dcterms:W3CDTF">2026-03-02T06:03:14Z</dcterms:modified>
</cp:coreProperties>
</file>